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Грант «Профессионалитет» для Белорецкого медицинского колледжа</w:t>
      </w:r>
    </w:p>
    <w:p>
      <w:r>
        <w:t>Практическое досье по официальным источникам</w:t>
      </w:r>
    </w:p>
    <w:p>
      <w:r>
        <w:t>Дата проверки: 19 октября 2026 года.</w:t>
      </w:r>
    </w:p>
    <w:p>
      <w:pPr>
        <w:pStyle w:val="IntenseQuote"/>
      </w:pPr>
      <w:r>
        <w:t>Это рабочий юридико-организационный черновик. Перед подачей нужно заменить параметры прошлых отборов условиями нового объявления на портале promote.budget.gov.ru.</w:t>
      </w:r>
    </w:p>
    <w:p>
      <w:pPr>
        <w:pStyle w:val="Heading1"/>
      </w:pPr>
      <w:r>
        <w:t>1. Короткий ответ</w:t>
      </w:r>
    </w:p>
    <w:p>
      <w:r>
        <w:t>Белорецкий медицинский колледж потенциально может претендовать на федеральный грант на создание кластера СПО по отрасли «Клиническая и профилактическая медицина». Получателем гранта выступает не ИП и не физическое лицо, а государственная образовательная организация, реализующая программы СПО и входящая в создаваемый кластер.</w:t>
      </w:r>
    </w:p>
    <w:p>
      <w:r>
        <w:t>Колледж не может подготовить заявку в одиночку. Для победы нужна официально поддержанная региональная конструкция:</w:t>
      </w:r>
    </w:p>
    <w:p>
      <w:pPr>
        <w:pStyle w:val="ListNumber"/>
      </w:pPr>
      <w:r>
        <w:t>инициатор создания кластера со стороны Республики Башкортостан;</w:t>
      </w:r>
    </w:p>
    <w:p>
      <w:pPr>
        <w:pStyle w:val="ListNumber"/>
      </w:pPr>
      <w:r>
        <w:t>Белорецкий медицинский колледж как базовая образовательная организация и предполагаемый грантополучатель;</w:t>
      </w:r>
    </w:p>
    <w:p>
      <w:pPr>
        <w:pStyle w:val="ListNumber"/>
      </w:pPr>
      <w:r>
        <w:t>работодатели системы здравоохранения с измеримыми обязательствами;</w:t>
      </w:r>
    </w:p>
    <w:p>
      <w:pPr>
        <w:pStyle w:val="ListNumber"/>
      </w:pPr>
      <w:r>
        <w:t>при необходимости сетевые образовательные организации;</w:t>
      </w:r>
    </w:p>
    <w:p>
      <w:pPr>
        <w:pStyle w:val="ListNumber"/>
      </w:pPr>
      <w:r>
        <w:t>подтвержденное финансирование Республики Башкортостан и работодателей;</w:t>
      </w:r>
    </w:p>
    <w:p>
      <w:pPr>
        <w:pStyle w:val="ListNumber"/>
      </w:pPr>
      <w:r>
        <w:t>программа деятельности кластера минимум на три года;</w:t>
      </w:r>
    </w:p>
    <w:p>
      <w:pPr>
        <w:pStyle w:val="ListNumber"/>
      </w:pPr>
      <w:r>
        <w:t>помещения, инфраструктурный лист, проект ремонта и оснащения;</w:t>
      </w:r>
    </w:p>
    <w:p>
      <w:pPr>
        <w:pStyle w:val="ListNumber"/>
      </w:pPr>
      <w:r>
        <w:t>показатели по обучающимся, программам, наставникам и целевому обучению.</w:t>
      </w:r>
    </w:p>
    <w:p>
      <w:r>
        <w:t>Практически ближайшая цель: готовить проект к следующему отбору после конкурса на 2027 год. На 19.10.2026 отбор на кластеры 2027 года завершен: заявки принимались 10.03.2026–14.04.2026, победителей планировалось определить до 25.05.2026. Официальное объявление отбора на 2028 год в проверенных источниках не найдено. Поэтому точные сроки, количество грантов и суммы следующего цикла пока нельзя считать утвержденными.</w:t>
      </w:r>
    </w:p>
    <w:p>
      <w:pPr>
        <w:pStyle w:val="Heading1"/>
      </w:pPr>
      <w:r>
        <w:t>2. Почему фигурирует сумма около 120 млн рублей</w:t>
      </w:r>
    </w:p>
    <w:p>
      <w:r>
        <w:t>В официальных итогах конкурса на кластеры 2026 года отрасль «Клиническая и профилактическая медицина» была отдельным лотом:</w:t>
      </w:r>
    </w:p>
    <w:p>
      <w:pPr>
        <w:pStyle w:val="ListBullet"/>
      </w:pPr>
      <w:r>
        <w:t>размер одного федерального гранта: 60,5 млн рублей;</w:t>
      </w:r>
    </w:p>
    <w:p>
      <w:pPr>
        <w:pStyle w:val="ListBullet"/>
      </w:pPr>
      <w:r>
        <w:t>количество грантов: 4;</w:t>
      </w:r>
    </w:p>
    <w:p>
      <w:pPr>
        <w:pStyle w:val="ListBullet"/>
      </w:pPr>
      <w:r>
        <w:t>общий федеральный бюджет лота: 242 млн рублей;</w:t>
      </w:r>
    </w:p>
    <w:p>
      <w:pPr>
        <w:pStyle w:val="ListBullet"/>
      </w:pPr>
      <w:r>
        <w:t>среднее значение регионального и внебюджетного софинансирования у победителей медицинского лота: 63,296 млн рублей.</w:t>
      </w:r>
    </w:p>
    <w:p>
      <w:r>
        <w:t>Средний полный финансовый масштаб медицинского проекта получается:</w:t>
      </w:r>
    </w:p>
    <w:p>
      <w:r>
        <w:t>60,5 млн + 63,296 млн = 123,796 млн рублей.</w:t>
      </w:r>
    </w:p>
    <w:p>
      <w:r>
        <w:t>Поэтому ориентир «около 120 млн рублей» реалистичен для нового конкурентного проекта как совокупность федерального гранта и софинансирования, но это не гарантированная сумма и не размер одного федерального гранта.</w:t>
      </w:r>
    </w:p>
    <w:p>
      <w:r>
        <w:t>Для Бирского медико-фармацевтического колледжа после дополнительной проверки официальных источников установлены другие точные цифры:</w:t>
      </w:r>
    </w:p>
    <w:p>
      <w:pPr>
        <w:pStyle w:val="ListBullet"/>
      </w:pPr>
      <w:r>
        <w:t>федеральный грант на создание кластера в 2023 году: 60,5 млн рублей;</w:t>
      </w:r>
    </w:p>
    <w:p>
      <w:pPr>
        <w:pStyle w:val="ListBullet"/>
      </w:pPr>
      <w:r>
        <w:t>бюджет Республики Башкортостан: 3 млн рублей;</w:t>
      </w:r>
    </w:p>
    <w:p>
      <w:pPr>
        <w:pStyle w:val="ListBullet"/>
      </w:pPr>
      <w:r>
        <w:t>внебюджетные средства колледжа: 6 млн рублей;</w:t>
      </w:r>
    </w:p>
    <w:p>
      <w:pPr>
        <w:pStyle w:val="ListBullet"/>
      </w:pPr>
      <w:r>
        <w:t>подтвержденный общий бюджет проекта создания кластера: 69,5 млн рублей.</w:t>
      </w:r>
    </w:p>
    <w:p>
      <w:r>
        <w:t>Отдельно в 2024 году колледж получил финансирование на капитальный ремонт второго корпуса с выполнением работ в 2026 году. В официальных сообщениях фигурируют около 110 млн рублей, а позднее 118 млн рублей на здание. Вероятнее всего, именно этот отдельный ремонтный проект стал источником сведений «Бирск получил около 120 млн». Его нельзя смешивать с грантом «Профессионалитета» 2023 года.</w:t>
      </w:r>
    </w:p>
    <w:p>
      <w:r>
        <w:t>Официальные источники:</w:t>
      </w:r>
    </w:p>
    <w:p>
      <w:pPr>
        <w:pStyle w:val="ListBullet"/>
      </w:pPr>
      <w:r>
        <w:t xml:space="preserve">Правительство Республики Башкортостан: </w:t>
      </w:r>
      <w:hyperlink r:id="rId9">
        <w:r>
          <w:rPr>
            <w:color w:val="0563C1"/>
            <w:u w:val="single"/>
          </w:rPr>
          <w:t>https://pravitelstvorb.ru/news/21169/</w:t>
        </w:r>
      </w:hyperlink>
      <w:r>
        <w:t>;</w:t>
      </w:r>
    </w:p>
    <w:p>
      <w:pPr>
        <w:pStyle w:val="ListBullet"/>
      </w:pPr>
      <w:r>
        <w:t xml:space="preserve">Минздрав Республики Башкортостан: </w:t>
      </w:r>
      <w:hyperlink r:id="rId10">
        <w:r>
          <w:rPr>
            <w:color w:val="0563C1"/>
            <w:u w:val="single"/>
          </w:rPr>
          <w:t>https://health.bashkortostan.ru/presscenter/news/569427/</w:t>
        </w:r>
      </w:hyperlink>
      <w:r>
        <w:t>;</w:t>
      </w:r>
    </w:p>
    <w:p>
      <w:pPr>
        <w:pStyle w:val="ListBullet"/>
      </w:pPr>
      <w:r>
        <w:t xml:space="preserve">Минпросвещения Республики Башкортостан: </w:t>
      </w:r>
      <w:hyperlink r:id="rId11">
        <w:r>
          <w:rPr>
            <w:color w:val="0563C1"/>
            <w:u w:val="single"/>
          </w:rPr>
          <w:t>https://education.bashkortostan.ru/presscenter/news/749302/</w:t>
        </w:r>
      </w:hyperlink>
      <w:r>
        <w:t>.</w:t>
      </w:r>
    </w:p>
    <w:p>
      <w:pPr>
        <w:pStyle w:val="Heading1"/>
      </w:pPr>
      <w:r>
        <w:t>3. Нормативная основа</w:t>
      </w:r>
    </w:p>
    <w:p>
      <w:pPr>
        <w:pStyle w:val="Heading2"/>
      </w:pPr>
      <w:r>
        <w:t>3.1. Главный документ</w:t>
      </w:r>
    </w:p>
    <w:p>
      <w:r>
        <w:t>Постановление Правительства РФ от 14.01.2022 № 4</w:t>
      </w:r>
    </w:p>
    <w:p>
      <w:r>
        <w:t>Полное название: «Об утверждении Правил предоставления грантов в форме субсидий из федерального бюджета на оказание государственной поддержки развития образовательно-производственных центров (кластеров)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экономики, а также образовательных кластеров среднего профессионального образования в рамках федерального проекта “Профессионалитет” государственной программы Российской Федерации “Развитие образования”».</w:t>
      </w:r>
    </w:p>
    <w:p>
      <w:r>
        <w:t>Регулирует:</w:t>
      </w:r>
    </w:p>
    <w:p>
      <w:pPr>
        <w:pStyle w:val="ListBullet"/>
      </w:pPr>
      <w:r>
        <w:t>кто может получить грант;</w:t>
      </w:r>
    </w:p>
    <w:p>
      <w:pPr>
        <w:pStyle w:val="ListBullet"/>
      </w:pPr>
      <w:r>
        <w:t>конкурсный механизм;</w:t>
      </w:r>
    </w:p>
    <w:p>
      <w:pPr>
        <w:pStyle w:val="ListBullet"/>
      </w:pPr>
      <w:r>
        <w:t>цели расходования;</w:t>
      </w:r>
    </w:p>
    <w:p>
      <w:pPr>
        <w:pStyle w:val="ListBullet"/>
      </w:pPr>
      <w:r>
        <w:t>требования к получателю;</w:t>
      </w:r>
    </w:p>
    <w:p>
      <w:pPr>
        <w:pStyle w:val="ListBullet"/>
      </w:pPr>
      <w:r>
        <w:t>результат предоставления гранта;</w:t>
      </w:r>
    </w:p>
    <w:p>
      <w:pPr>
        <w:pStyle w:val="ListBullet"/>
      </w:pPr>
      <w:r>
        <w:t>соглашение и контроль;</w:t>
      </w:r>
    </w:p>
    <w:p>
      <w:pPr>
        <w:pStyle w:val="ListBullet"/>
      </w:pPr>
      <w:r>
        <w:t>возврат средств при нарушении условий.</w:t>
      </w:r>
    </w:p>
    <w:p>
      <w:r>
        <w:t>Официальное опубликование:</w:t>
      </w:r>
    </w:p>
    <w:p>
      <w:hyperlink r:id="rId12">
        <w:r>
          <w:rPr>
            <w:color w:val="0563C1"/>
            <w:u w:val="single"/>
          </w:rPr>
          <w:t>http://publication.pravo.gov.ru/Document/View/0001202201240006</w:t>
        </w:r>
      </w:hyperlink>
    </w:p>
    <w:p>
      <w:pPr>
        <w:pStyle w:val="Heading2"/>
      </w:pPr>
      <w:r>
        <w:t>3.2. Изменения к постановлению № 4</w:t>
      </w:r>
    </w:p>
    <w:p>
      <w:r>
        <w:t>Постановление Правительства РФ от 15.02.2023 № 219</w:t>
      </w:r>
    </w:p>
    <w:p>
      <w:r>
        <w:t>Включило в механизм образовательные кластеры СПО, в том числе социальные отрасли, и изменило редакцию Правил.</w:t>
      </w:r>
    </w:p>
    <w:p>
      <w:r>
        <w:t>Официальное опубликование:</w:t>
      </w:r>
    </w:p>
    <w:p>
      <w:hyperlink r:id="rId13">
        <w:r>
          <w:rPr>
            <w:color w:val="0563C1"/>
            <w:u w:val="single"/>
          </w:rPr>
          <w:t>http://publication.pravo.gov.ru/Document/View/0001202302220023</w:t>
        </w:r>
      </w:hyperlink>
    </w:p>
    <w:p>
      <w:r>
        <w:t>Постановление Правительства РФ от 04.05.2023 № 698</w:t>
      </w:r>
    </w:p>
    <w:p>
      <w:r>
        <w:t>Добавило отрасли электронной промышленности и робототехники и исключило фиксированное ограничение «не позднее 1 апреля» из пункта 14 Правил.</w:t>
      </w:r>
    </w:p>
    <w:p>
      <w:r>
        <w:t>Официальный файл сохранен в комплекте документов. Справочная страница:</w:t>
      </w:r>
    </w:p>
    <w:p>
      <w:hyperlink r:id="rId14">
        <w:r>
          <w:rPr>
            <w:color w:val="0563C1"/>
            <w:u w:val="single"/>
          </w:rPr>
          <w:t>https://www.garant.ru/products/ipo/prime/doc/406770418/</w:t>
        </w:r>
      </w:hyperlink>
    </w:p>
    <w:p>
      <w:pPr>
        <w:pStyle w:val="Heading2"/>
      </w:pPr>
      <w:r>
        <w:t>3.3. Общий порядок проведения отборов субсидий</w:t>
      </w:r>
    </w:p>
    <w:p>
      <w:r>
        <w:t>Постановление Правительства РФ от 25.10.2023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— производителям товаров, работ, услуг».</w:t>
      </w:r>
    </w:p>
    <w:p>
      <w:r>
        <w:t>Оно задает общий цифровой механизм отбора через государственную информационную систему. Специальные условия «Профессионалитета» определяются постановлением № 4 и документацией конкретного конкурса.</w:t>
      </w:r>
    </w:p>
    <w:p>
      <w:r>
        <w:t>Официальный поиск документа:</w:t>
      </w:r>
    </w:p>
    <w:p>
      <w:hyperlink r:id="rId15">
        <w:r>
          <w:rPr>
            <w:color w:val="0563C1"/>
            <w:u w:val="single"/>
          </w:rPr>
          <w:t>http://publication.pravo.gov.ru/</w:t>
        </w:r>
      </w:hyperlink>
    </w:p>
    <w:p>
      <w:pPr>
        <w:pStyle w:val="Heading2"/>
      </w:pPr>
      <w:r>
        <w:t>3.4. Документация конкретного конкурса</w:t>
      </w:r>
    </w:p>
    <w:p>
      <w:r>
        <w:t>Реально подача делается не только по постановлению № 4. Для каждого цикла Минпросвещения публикует отдельные:</w:t>
      </w:r>
    </w:p>
    <w:p>
      <w:pPr>
        <w:pStyle w:val="ListBullet"/>
      </w:pPr>
      <w:r>
        <w:t>объявление об отборе;</w:t>
      </w:r>
    </w:p>
    <w:p>
      <w:pPr>
        <w:pStyle w:val="ListBullet"/>
      </w:pPr>
      <w:r>
        <w:t>документацию конкурса;</w:t>
      </w:r>
    </w:p>
    <w:p>
      <w:pPr>
        <w:pStyle w:val="ListBullet"/>
      </w:pPr>
      <w:r>
        <w:t>формы заявки;</w:t>
      </w:r>
    </w:p>
    <w:p>
      <w:pPr>
        <w:pStyle w:val="ListBullet"/>
      </w:pPr>
      <w:r>
        <w:t>форму программы деятельности;</w:t>
      </w:r>
    </w:p>
    <w:p>
      <w:pPr>
        <w:pStyle w:val="ListBullet"/>
      </w:pPr>
      <w:r>
        <w:t>методику оценки;</w:t>
      </w:r>
    </w:p>
    <w:p>
      <w:pPr>
        <w:pStyle w:val="ListBullet"/>
      </w:pPr>
      <w:r>
        <w:t>количество грантов по лотам;</w:t>
      </w:r>
    </w:p>
    <w:p>
      <w:pPr>
        <w:pStyle w:val="ListBullet"/>
      </w:pPr>
      <w:r>
        <w:t>сроки;</w:t>
      </w:r>
    </w:p>
    <w:p>
      <w:pPr>
        <w:pStyle w:val="ListBullet"/>
      </w:pPr>
      <w:r>
        <w:t>требования к файлам и электронной подписи.</w:t>
      </w:r>
    </w:p>
    <w:p>
      <w:r>
        <w:t>Именно документация нового цикла имеет приоритет для подготовки заявки.</w:t>
      </w:r>
    </w:p>
    <w:p>
      <w:r>
        <w:t>Официальная площадка:</w:t>
      </w:r>
    </w:p>
    <w:p>
      <w:hyperlink r:id="rId16">
        <w:r>
          <w:rPr>
            <w:color w:val="0563C1"/>
            <w:u w:val="single"/>
          </w:rPr>
          <w:t>https://promote.budget.gov.ru/</w:t>
        </w:r>
      </w:hyperlink>
    </w:p>
    <w:p>
      <w:r>
        <w:t>Материалы ИРПО по конкурсам:</w:t>
      </w:r>
    </w:p>
    <w:p>
      <w:hyperlink r:id="rId17">
        <w:r>
          <w:rPr>
            <w:color w:val="0563C1"/>
            <w:u w:val="single"/>
          </w:rPr>
          <w:t>https://mtb-spo.firpo.ru/</w:t>
        </w:r>
      </w:hyperlink>
    </w:p>
    <w:p>
      <w:pPr>
        <w:pStyle w:val="Heading1"/>
      </w:pPr>
      <w:r>
        <w:t>4. Официальные сайты</w:t>
      </w:r>
    </w:p>
    <w:p>
      <w:pPr>
        <w:pStyle w:val="ListNumber"/>
      </w:pPr>
      <w:r>
        <w:t xml:space="preserve">Минпросвещения России: </w:t>
      </w:r>
      <w:hyperlink r:id="rId18">
        <w:r>
          <w:rPr>
            <w:color w:val="0563C1"/>
            <w:u w:val="single"/>
          </w:rPr>
          <w:t>https://edu.gov.ru/</w:t>
        </w:r>
      </w:hyperlink>
    </w:p>
    <w:p>
      <w:pPr>
        <w:pStyle w:val="ListNumber"/>
      </w:pPr>
      <w:r>
        <w:t xml:space="preserve">Федеральный оператор проекта, ИРПО: </w:t>
      </w:r>
      <w:hyperlink r:id="rId19">
        <w:r>
          <w:rPr>
            <w:color w:val="0563C1"/>
            <w:u w:val="single"/>
          </w:rPr>
          <w:t>https://firpo.ru/activities/projects/federalnyy-proekt-professionalitet/</w:t>
        </w:r>
      </w:hyperlink>
    </w:p>
    <w:p>
      <w:pPr>
        <w:pStyle w:val="ListNumber"/>
      </w:pPr>
      <w:r>
        <w:t xml:space="preserve">Материалы по созданию и оснащению кластеров: </w:t>
      </w:r>
      <w:hyperlink r:id="rId17">
        <w:r>
          <w:rPr>
            <w:color w:val="0563C1"/>
            <w:u w:val="single"/>
          </w:rPr>
          <w:t>https://mtb-spo.firpo.ru/</w:t>
        </w:r>
      </w:hyperlink>
    </w:p>
    <w:p>
      <w:pPr>
        <w:pStyle w:val="ListNumber"/>
      </w:pPr>
      <w:r>
        <w:t xml:space="preserve">Подача заявок, «Электронный бюджет»: </w:t>
      </w:r>
      <w:hyperlink r:id="rId16">
        <w:r>
          <w:rPr>
            <w:color w:val="0563C1"/>
            <w:u w:val="single"/>
          </w:rPr>
          <w:t>https://promote.budget.gov.ru/</w:t>
        </w:r>
      </w:hyperlink>
    </w:p>
    <w:p>
      <w:pPr>
        <w:pStyle w:val="ListNumber"/>
      </w:pPr>
      <w:r>
        <w:t xml:space="preserve">Мониторинг действующих кластеров: </w:t>
      </w:r>
      <w:hyperlink r:id="rId20">
        <w:r>
          <w:rPr>
            <w:color w:val="0563C1"/>
            <w:u w:val="single"/>
          </w:rPr>
          <w:t>https://professionalitet.firpo.ru/</w:t>
        </w:r>
      </w:hyperlink>
    </w:p>
    <w:p>
      <w:pPr>
        <w:pStyle w:val="ListNumber"/>
      </w:pPr>
      <w:r>
        <w:t xml:space="preserve">Публичный портал проекта: </w:t>
      </w:r>
      <w:hyperlink r:id="rId21">
        <w:r>
          <w:rPr>
            <w:color w:val="0563C1"/>
            <w:u w:val="single"/>
          </w:rPr>
          <w:t>https://япроф.рф/</w:t>
        </w:r>
      </w:hyperlink>
      <w:r>
        <w:t>;</w:t>
      </w:r>
      <w:r>
        <w:t xml:space="preserve"> также использовался адрес </w:t>
      </w:r>
      <w:hyperlink r:id="rId22">
        <w:r>
          <w:rPr>
            <w:color w:val="0563C1"/>
            <w:u w:val="single"/>
          </w:rPr>
          <w:t>https://профессионалитет.рф/</w:t>
        </w:r>
      </w:hyperlink>
      <w:r>
        <w:t>.</w:t>
      </w:r>
    </w:p>
    <w:p>
      <w:pPr>
        <w:pStyle w:val="ListNumber"/>
      </w:pPr>
      <w:r>
        <w:t xml:space="preserve">Навигатор СПО LAB и проверка ФГОС: </w:t>
      </w:r>
      <w:hyperlink r:id="rId23">
        <w:r>
          <w:rPr>
            <w:color w:val="0563C1"/>
            <w:u w:val="single"/>
          </w:rPr>
          <w:t>https://navigator.spolab.firpo.ru/</w:t>
        </w:r>
      </w:hyperlink>
    </w:p>
    <w:p>
      <w:pPr>
        <w:pStyle w:val="ListNumber"/>
      </w:pPr>
      <w:r>
        <w:t xml:space="preserve">Официальное опубликование правовых актов: </w:t>
      </w:r>
      <w:hyperlink r:id="rId15">
        <w:r>
          <w:rPr>
            <w:color w:val="0563C1"/>
            <w:u w:val="single"/>
          </w:rPr>
          <w:t>http://publication.pravo.gov.ru/</w:t>
        </w:r>
      </w:hyperlink>
    </w:p>
    <w:p>
      <w:pPr>
        <w:pStyle w:val="ListNumber"/>
      </w:pPr>
      <w:r>
        <w:t xml:space="preserve">Минпросвещения Республики Башкортостан: </w:t>
      </w:r>
      <w:hyperlink r:id="rId24">
        <w:r>
          <w:rPr>
            <w:color w:val="0563C1"/>
            <w:u w:val="single"/>
          </w:rPr>
          <w:t>https://education.bashkortostan.ru/</w:t>
        </w:r>
      </w:hyperlink>
    </w:p>
    <w:p>
      <w:pPr>
        <w:pStyle w:val="ListNumber"/>
      </w:pPr>
      <w:r>
        <w:t xml:space="preserve">Минздрав Республики Башкортостан: </w:t>
      </w:r>
      <w:hyperlink r:id="rId25">
        <w:r>
          <w:rPr>
            <w:color w:val="0563C1"/>
            <w:u w:val="single"/>
          </w:rPr>
          <w:t>https://health.bashkortostan.ru/</w:t>
        </w:r>
      </w:hyperlink>
    </w:p>
    <w:p>
      <w:pPr>
        <w:pStyle w:val="ListNumber"/>
      </w:pPr>
      <w:r>
        <w:t xml:space="preserve">Белорецкий медицинский колледж: </w:t>
      </w:r>
      <w:hyperlink r:id="rId26">
        <w:r>
          <w:rPr>
            <w:color w:val="0563C1"/>
            <w:u w:val="single"/>
          </w:rPr>
          <w:t>https://www.belormedkol.ru/</w:t>
        </w:r>
      </w:hyperlink>
    </w:p>
    <w:p>
      <w:pPr>
        <w:pStyle w:val="ListNumber"/>
      </w:pPr>
      <w:r>
        <w:t xml:space="preserve">Бирский медико-фармацевтический колледж: </w:t>
      </w:r>
      <w:hyperlink r:id="rId27">
        <w:r>
          <w:rPr>
            <w:color w:val="0563C1"/>
            <w:u w:val="single"/>
          </w:rPr>
          <w:t>http://bmfk-birsk.ru/</w:t>
        </w:r>
      </w:hyperlink>
    </w:p>
    <w:p>
      <w:r>
        <w:t>Важно различать:</w:t>
      </w:r>
    </w:p>
    <w:p>
      <w:pPr>
        <w:pStyle w:val="ListBullet"/>
      </w:pPr>
      <w:r>
        <w:t>promote.budget.gov.ru: юридически значимая подача заявки;</w:t>
      </w:r>
    </w:p>
    <w:p>
      <w:pPr>
        <w:pStyle w:val="ListBullet"/>
      </w:pPr>
      <w:r>
        <w:t>mtb-spo.firpo.ru: методические материалы и вебинары;</w:t>
      </w:r>
    </w:p>
    <w:p>
      <w:pPr>
        <w:pStyle w:val="ListBullet"/>
      </w:pPr>
      <w:r>
        <w:t>professionalitet.firpo.ru: мониторинг уже созданных кластеров, не площадка подачи;</w:t>
      </w:r>
    </w:p>
    <w:p>
      <w:pPr>
        <w:pStyle w:val="ListBullet"/>
      </w:pPr>
      <w:r>
        <w:t>япроф.рф: публичная витрина проекта.</w:t>
      </w:r>
    </w:p>
    <w:p>
      <w:pPr>
        <w:pStyle w:val="Heading1"/>
      </w:pPr>
      <w:r>
        <w:t>5. Кто должен быть заявителем и участниками</w:t>
      </w:r>
    </w:p>
    <w:p>
      <w:pPr>
        <w:pStyle w:val="Heading2"/>
      </w:pPr>
      <w:r>
        <w:t>Получатель гранта</w:t>
      </w:r>
    </w:p>
    <w:p>
      <w:r>
        <w:t>Государственная образовательная организация субъекта РФ либо федеральная образовательная организация, реализующая программы СПО и являющаяся участником кластера. Для проекта Белорецка логичная конструкция: ГАПОУ РБ «Белорецкий медицинский колледж» как базовая образовательная организация и грантополучатель, если это будет одобрено учредителем и региональным инициатором.</w:t>
      </w:r>
    </w:p>
    <w:p>
      <w:pPr>
        <w:pStyle w:val="Heading2"/>
      </w:pPr>
      <w:r>
        <w:t>Инициатор создания кластера</w:t>
      </w:r>
    </w:p>
    <w:p>
      <w:r>
        <w:t>Региональный или федеральный орган исполнительной власти. Для медицинского колледжа ключевым является Минздрав Республики Башкортостан как учредитель/отраслевой орган; Минпросвещения РБ и региональный межведомственный совет также участвуют в согласовании региональной политики СПО.</w:t>
      </w:r>
    </w:p>
    <w:p>
      <w:pPr>
        <w:pStyle w:val="Heading2"/>
      </w:pPr>
      <w:r>
        <w:t>Работодатели</w:t>
      </w:r>
    </w:p>
    <w:p>
      <w:r>
        <w:t>Организации выбранной отрасли. Они должны быть не номинальными подписантами, а участниками программы:</w:t>
      </w:r>
    </w:p>
    <w:p>
      <w:pPr>
        <w:pStyle w:val="ListBullet"/>
      </w:pPr>
      <w:r>
        <w:t>формировать кадровый заказ;</w:t>
      </w:r>
    </w:p>
    <w:p>
      <w:pPr>
        <w:pStyle w:val="ListBullet"/>
      </w:pPr>
      <w:r>
        <w:t>давать места практики;</w:t>
      </w:r>
    </w:p>
    <w:p>
      <w:pPr>
        <w:pStyle w:val="ListBullet"/>
      </w:pPr>
      <w:r>
        <w:t>включать работников в обучение как преподавателей, наставников и кураторов;</w:t>
      </w:r>
    </w:p>
    <w:p>
      <w:pPr>
        <w:pStyle w:val="ListBullet"/>
      </w:pPr>
      <w:r>
        <w:t>заключать договоры о целевом обучении с гарантией трудоустройства;</w:t>
      </w:r>
    </w:p>
    <w:p>
      <w:pPr>
        <w:pStyle w:val="ListBullet"/>
      </w:pPr>
      <w:r>
        <w:t>участвовать в разработке программ;</w:t>
      </w:r>
    </w:p>
    <w:p>
      <w:pPr>
        <w:pStyle w:val="ListBullet"/>
      </w:pPr>
      <w:r>
        <w:t>предоставлять деньги, имущество, оборудование или иное учитываемое софинансирование;</w:t>
      </w:r>
    </w:p>
    <w:p>
      <w:pPr>
        <w:pStyle w:val="ListBullet"/>
      </w:pPr>
      <w:r>
        <w:t>подписать соглашение о партнерстве.</w:t>
      </w:r>
    </w:p>
    <w:p>
      <w:pPr>
        <w:pStyle w:val="Heading2"/>
      </w:pPr>
      <w:r>
        <w:t>Сетевые образовательные организации</w:t>
      </w:r>
    </w:p>
    <w:p>
      <w:r>
        <w:t>Нужны, если они реально расширяют охват, специальности и территорию кластера. В интерфейсе заявки конкурса 2027 года предусматривалось не более пяти образовательных организаций. Это параметр прошлого отбора и должен быть проверен в новом объявлении.</w:t>
      </w:r>
    </w:p>
    <w:p>
      <w:pPr>
        <w:pStyle w:val="Heading1"/>
      </w:pPr>
      <w:r>
        <w:t>6. Бирский кластер: проверенный эталон</w:t>
      </w:r>
    </w:p>
    <w:p>
      <w:r>
        <w:t>Бирский медико-фармацевтический колледж официально указан победителем конкурса 2023 года по отрасли «Клиническая и профилактическая медицина».</w:t>
      </w:r>
    </w:p>
    <w:p>
      <w:r>
        <w:t>Кластер открыт 1 сентября 2023 года. Его официальное наименование в реестре ФИРПО: образовательный кластер «Центр подготовки кадров для профилактической и клинической медицины».</w:t>
      </w:r>
    </w:p>
    <w:p>
      <w:r>
        <w:t>Финансирование создания кластера:</w:t>
      </w:r>
    </w:p>
    <w:p>
      <w:pPr>
        <w:pStyle w:val="ListBullet"/>
      </w:pPr>
      <w:r>
        <w:t>федеральный грант: 60,5 млн рублей;</w:t>
      </w:r>
    </w:p>
    <w:p>
      <w:pPr>
        <w:pStyle w:val="ListBullet"/>
      </w:pPr>
      <w:r>
        <w:t>бюджет Республики Башкортостан: 3 млн рублей;</w:t>
      </w:r>
    </w:p>
    <w:p>
      <w:pPr>
        <w:pStyle w:val="ListBullet"/>
      </w:pPr>
      <w:r>
        <w:t>внебюджетные средства колледжа: 6 млн рублей;</w:t>
      </w:r>
    </w:p>
    <w:p>
      <w:pPr>
        <w:pStyle w:val="ListBullet"/>
      </w:pPr>
      <w:r>
        <w:t>итого: 69,5 млн рублей.</w:t>
      </w:r>
    </w:p>
    <w:p>
      <w:r>
        <w:t>Отдельный капитальный ремонт корпуса 2026 года на сумму около 110–118 млн рублей не является первоначальным грантом на создание кластера.</w:t>
      </w:r>
    </w:p>
    <w:p>
      <w:r>
        <w:t>Публичная карточка действующего кластера:</w:t>
      </w:r>
    </w:p>
    <w:p>
      <w:hyperlink r:id="rId28">
        <w:r>
          <w:rPr>
            <w:color w:val="0563C1"/>
            <w:u w:val="single"/>
          </w:rPr>
          <w:t>https://япроф.рф/objects/meditsina/birskiy-mediko-farmatsevticheskiy-kolledzh/</w:t>
        </w:r>
      </w:hyperlink>
    </w:p>
    <w:p>
      <w:r>
        <w:t>Федеральный реестр:</w:t>
      </w:r>
    </w:p>
    <w:p>
      <w:hyperlink r:id="rId29">
        <w:r>
          <w:rPr>
            <w:color w:val="0563C1"/>
            <w:u w:val="single"/>
          </w:rPr>
          <w:t>https://mtb-spo.firpo.ru/list-clusters/%D0%9C%D0%B5%D0%B4%D0%B8%D1%86%D0%B8%D0%BD%D0%B0/2023/cluster</w:t>
        </w:r>
      </w:hyperlink>
    </w:p>
    <w:p>
      <w:r>
        <w:t>Базовая организация:</w:t>
      </w:r>
    </w:p>
    <w:p>
      <w:pPr>
        <w:pStyle w:val="ListBullet"/>
      </w:pPr>
      <w:r>
        <w:t>ГАПОУ РБ «Бирский медико-фармацевтический колледж».</w:t>
      </w:r>
    </w:p>
    <w:p>
      <w:r>
        <w:t>Специальности:</w:t>
      </w:r>
    </w:p>
    <w:p>
      <w:pPr>
        <w:pStyle w:val="ListBullet"/>
      </w:pPr>
      <w:r>
        <w:t>31.02.01 Лечебное дело;</w:t>
      </w:r>
    </w:p>
    <w:p>
      <w:pPr>
        <w:pStyle w:val="ListBullet"/>
      </w:pPr>
      <w:r>
        <w:t>31.02.02 Акушерское дело;</w:t>
      </w:r>
    </w:p>
    <w:p>
      <w:pPr>
        <w:pStyle w:val="ListBullet"/>
      </w:pPr>
      <w:r>
        <w:t>33.02.01 Фармация;</w:t>
      </w:r>
    </w:p>
    <w:p>
      <w:pPr>
        <w:pStyle w:val="ListBullet"/>
      </w:pPr>
      <w:r>
        <w:t>34.02.01 Сестринское дело.</w:t>
      </w:r>
    </w:p>
    <w:p>
      <w:r>
        <w:t>Работодатели, указанные в публичной карточке:</w:t>
      </w:r>
    </w:p>
    <w:p>
      <w:pPr>
        <w:pStyle w:val="ListBullet"/>
      </w:pPr>
      <w:r>
        <w:t>ГБУЗ РБ Бирская ЦРБ;</w:t>
      </w:r>
    </w:p>
    <w:p>
      <w:pPr>
        <w:pStyle w:val="ListBullet"/>
      </w:pPr>
      <w:r>
        <w:t>ГБУЗ РКБ им. Г. Г. Куватова;</w:t>
      </w:r>
    </w:p>
    <w:p>
      <w:pPr>
        <w:pStyle w:val="ListBullet"/>
      </w:pPr>
      <w:r>
        <w:t>ГБУЗ РБ Балтачевская ЦРБ;</w:t>
      </w:r>
    </w:p>
    <w:p>
      <w:pPr>
        <w:pStyle w:val="ListBullet"/>
      </w:pPr>
      <w:r>
        <w:t>ГБУЗ РБ Бураевская ЦРБ;</w:t>
      </w:r>
    </w:p>
    <w:p>
      <w:pPr>
        <w:pStyle w:val="ListBullet"/>
      </w:pPr>
      <w:r>
        <w:t>ГБУЗ РБ Мишкинская ЦРБ;</w:t>
      </w:r>
    </w:p>
    <w:p>
      <w:pPr>
        <w:pStyle w:val="ListBullet"/>
      </w:pPr>
      <w:r>
        <w:t>ГБУЗ РБ Городская больница г. Нефтекамск;</w:t>
      </w:r>
    </w:p>
    <w:p>
      <w:pPr>
        <w:pStyle w:val="ListBullet"/>
      </w:pPr>
      <w:r>
        <w:t>ГБУЗ РБ Городская больница № 1 г. Октябрьский;</w:t>
      </w:r>
    </w:p>
    <w:p>
      <w:pPr>
        <w:pStyle w:val="ListBullet"/>
      </w:pPr>
      <w:r>
        <w:t>ГБУЗ РБ Туймазинская ЦРБ;</w:t>
      </w:r>
    </w:p>
    <w:p>
      <w:pPr>
        <w:pStyle w:val="ListBullet"/>
      </w:pPr>
      <w:r>
        <w:t>ГБУЗ РБ Белебеевская ЦРБ;</w:t>
      </w:r>
    </w:p>
    <w:p>
      <w:pPr>
        <w:pStyle w:val="ListBullet"/>
      </w:pPr>
      <w:r>
        <w:t>ГУП «Башфармация» РБ.</w:t>
      </w:r>
    </w:p>
    <w:p>
      <w:r>
        <w:t>Колледжи-партнеры:</w:t>
      </w:r>
    </w:p>
    <w:p>
      <w:pPr>
        <w:pStyle w:val="ListBullet"/>
      </w:pPr>
      <w:r>
        <w:t>Белебеевский медицинский колледж;</w:t>
      </w:r>
    </w:p>
    <w:p>
      <w:pPr>
        <w:pStyle w:val="ListBullet"/>
      </w:pPr>
      <w:r>
        <w:t>Сибайский медицинский колледж;</w:t>
      </w:r>
    </w:p>
    <w:p>
      <w:pPr>
        <w:pStyle w:val="ListBullet"/>
      </w:pPr>
      <w:r>
        <w:t>Туймазинский медицинский колледж.</w:t>
      </w:r>
    </w:p>
    <w:p>
      <w:r>
        <w:t>Дополнительная образовательная организация кластера:</w:t>
      </w:r>
    </w:p>
    <w:p>
      <w:pPr>
        <w:pStyle w:val="ListBullet"/>
      </w:pPr>
      <w:r>
        <w:t>ГАУ ДПО РБ «Центр повышения квалификации».</w:t>
      </w:r>
    </w:p>
    <w:p>
      <w:r>
        <w:t>В колледже созданы семь лабораторий «Профессионалитета»: по акушерству, гинекологии, медицинской реабилитации в акушерско-гинекологической службе, скорой помощи, деятельности фельдшера, медико-социальному и сестринскому уходу. Официальный отчет колледжа также подтверждает симуляторы, роботизированные манекены, «Электронный ФАП», VR-симулятор экстренной помощи и анатомический 3D-атлас.</w:t>
      </w:r>
    </w:p>
    <w:p>
      <w:r>
        <w:t xml:space="preserve">Источник: </w:t>
      </w:r>
      <w:hyperlink r:id="rId30">
        <w:r>
          <w:rPr>
            <w:color w:val="0563C1"/>
            <w:u w:val="single"/>
          </w:rPr>
          <w:t>http://bmfk-birsk.ru/docs/otchet_samoobsled_2025.pdf</w:t>
        </w:r>
      </w:hyperlink>
      <w:r>
        <w:t>.</w:t>
      </w:r>
    </w:p>
    <w:p>
      <w:r>
        <w:t>Белорецкий медицинский колледж в официальной публичной карточке Бирского кластера не указан.</w:t>
      </w:r>
    </w:p>
    <w:p>
      <w:r>
        <w:t>Это создает возможность обосновать отдельный территориальный кластер, но одновременно требует доказать, что новый проект не дублирует Бирск, а закрывает самостоятельную кадровую и территориальную потребность.</w:t>
      </w:r>
    </w:p>
    <w:p>
      <w:pPr>
        <w:pStyle w:val="Heading1"/>
      </w:pPr>
      <w:r>
        <w:t>7. Сильная концепция для Белорецка</w:t>
      </w:r>
    </w:p>
    <w:p>
      <w:r>
        <w:t>Рабочее название:</w:t>
      </w:r>
    </w:p>
    <w:p>
      <w:r>
        <w:t>«Горнозаводской медицинский кластер Республики Башкортостан»</w:t>
      </w:r>
    </w:p>
    <w:p>
      <w:r>
        <w:t>Миссия:</w:t>
      </w:r>
    </w:p>
    <w:p>
      <w:r>
        <w:t>Создать систему подготовки среднего медицинского персонала для удаленных и горных территорий Башкортостана с практикой в районных больницах, устойчивым целевым набором и гарантированным трудоустройством.</w:t>
      </w:r>
    </w:p>
    <w:p>
      <w:r>
        <w:t>База:</w:t>
      </w:r>
    </w:p>
    <w:p>
      <w:pPr>
        <w:pStyle w:val="ListBullet"/>
      </w:pPr>
      <w:r>
        <w:t>Белорецкий медицинский колледж;</w:t>
      </w:r>
    </w:p>
    <w:p>
      <w:pPr>
        <w:pStyle w:val="ListBullet"/>
      </w:pPr>
      <w:r>
        <w:t>филиал колледжа в Учалах.</w:t>
      </w:r>
    </w:p>
    <w:p>
      <w:r>
        <w:t>У колледжа официально подтверждены три направления:</w:t>
      </w:r>
    </w:p>
    <w:p>
      <w:pPr>
        <w:pStyle w:val="ListBullet"/>
      </w:pPr>
      <w:r>
        <w:t>31.02.01 Лечебное дело;</w:t>
      </w:r>
    </w:p>
    <w:p>
      <w:pPr>
        <w:pStyle w:val="ListBullet"/>
      </w:pPr>
      <w:r>
        <w:t>31.02.02 Акушерское дело;</w:t>
      </w:r>
    </w:p>
    <w:p>
      <w:pPr>
        <w:pStyle w:val="ListBullet"/>
      </w:pPr>
      <w:r>
        <w:t>34.02.01 Сестринское дело.</w:t>
      </w:r>
    </w:p>
    <w:p>
      <w:r>
        <w:t>Имеющаяся база:</w:t>
      </w:r>
    </w:p>
    <w:p>
      <w:pPr>
        <w:pStyle w:val="ListBullet"/>
      </w:pPr>
      <w:r>
        <w:t>более 450 студентов;</w:t>
      </w:r>
    </w:p>
    <w:p>
      <w:pPr>
        <w:pStyle w:val="ListBullet"/>
      </w:pPr>
      <w:r>
        <w:t>два лекционных зала;</w:t>
      </w:r>
    </w:p>
    <w:p>
      <w:pPr>
        <w:pStyle w:val="ListBullet"/>
      </w:pPr>
      <w:r>
        <w:t>17 учебных аудиторий;</w:t>
      </w:r>
    </w:p>
    <w:p>
      <w:pPr>
        <w:pStyle w:val="ListBullet"/>
      </w:pPr>
      <w:r>
        <w:t>центр кабинетов профилактического направления;</w:t>
      </w:r>
    </w:p>
    <w:p>
      <w:pPr>
        <w:pStyle w:val="ListBullet"/>
      </w:pPr>
      <w:r>
        <w:t>четыре лаборатории;</w:t>
      </w:r>
    </w:p>
    <w:p>
      <w:pPr>
        <w:pStyle w:val="ListBullet"/>
      </w:pPr>
      <w:r>
        <w:t>два компьютерных класса;</w:t>
      </w:r>
    </w:p>
    <w:p>
      <w:pPr>
        <w:pStyle w:val="ListBullet"/>
      </w:pPr>
      <w:r>
        <w:t>центр доклинической практики из 19 учебных комнат;</w:t>
      </w:r>
    </w:p>
    <w:p>
      <w:pPr>
        <w:pStyle w:val="ListBullet"/>
      </w:pPr>
      <w:r>
        <w:t>филиал в Учалах;</w:t>
      </w:r>
    </w:p>
    <w:p>
      <w:pPr>
        <w:pStyle w:val="ListBullet"/>
      </w:pPr>
      <w:r>
        <w:t>общежитие на 360 проектных мест.</w:t>
      </w:r>
    </w:p>
    <w:p>
      <w:r>
        <w:t>Предлагаемые работодатели, которых нужно пригласить и получить от них письма:</w:t>
      </w:r>
    </w:p>
    <w:p>
      <w:pPr>
        <w:pStyle w:val="ListBullet"/>
      </w:pPr>
      <w:r>
        <w:t>Белорецкая ЦРКБ как опорный работодатель;</w:t>
      </w:r>
    </w:p>
    <w:p>
      <w:pPr>
        <w:pStyle w:val="ListBullet"/>
      </w:pPr>
      <w:r>
        <w:t>Учалинская ЦРБ;</w:t>
      </w:r>
    </w:p>
    <w:p>
      <w:pPr>
        <w:pStyle w:val="ListBullet"/>
      </w:pPr>
      <w:r>
        <w:t>Бурзянская ЦРБ;</w:t>
      </w:r>
    </w:p>
    <w:p>
      <w:pPr>
        <w:pStyle w:val="ListBullet"/>
      </w:pPr>
      <w:r>
        <w:t>Абзелиловская ЦРБ;</w:t>
      </w:r>
    </w:p>
    <w:p>
      <w:pPr>
        <w:pStyle w:val="ListBullet"/>
      </w:pPr>
      <w:r>
        <w:t>медицинские организации Межгорья;</w:t>
      </w:r>
    </w:p>
    <w:p>
      <w:pPr>
        <w:pStyle w:val="ListBullet"/>
      </w:pPr>
      <w:r>
        <w:t>станции скорой помощи и профильные учреждения территории;</w:t>
      </w:r>
    </w:p>
    <w:p>
      <w:pPr>
        <w:pStyle w:val="ListBullet"/>
      </w:pPr>
      <w:r>
        <w:t>лицензированные частные медицинские организации как дополнительные партнеры.</w:t>
      </w:r>
    </w:p>
    <w:p>
      <w:r>
        <w:t>Ни одна организация не должна включаться в заявку без переговоров, решения руководителя и подписанного документа.</w:t>
      </w:r>
    </w:p>
    <w:p>
      <w:r>
        <w:t>Предлагаемые зоны по видам работ:</w:t>
      </w:r>
    </w:p>
    <w:p>
      <w:pPr>
        <w:pStyle w:val="ListNumber"/>
      </w:pPr>
      <w:r>
        <w:t>неотложная и экстренная помощь, работа фельдшера;</w:t>
      </w:r>
    </w:p>
    <w:p>
      <w:pPr>
        <w:pStyle w:val="ListNumber"/>
      </w:pPr>
      <w:r>
        <w:t>сестринский уход и безопасность пациента;</w:t>
      </w:r>
    </w:p>
    <w:p>
      <w:pPr>
        <w:pStyle w:val="ListNumber"/>
      </w:pPr>
      <w:r>
        <w:t>акушерство, неонатальный уход и симуляция родов;</w:t>
      </w:r>
    </w:p>
    <w:p>
      <w:pPr>
        <w:pStyle w:val="ListNumber"/>
      </w:pPr>
      <w:r>
        <w:t>амбулаторная помощь, диспансеризация и профилактика;</w:t>
      </w:r>
    </w:p>
    <w:p>
      <w:pPr>
        <w:pStyle w:val="ListNumber"/>
      </w:pPr>
      <w:r>
        <w:t>медицинская реабилитация и уход;</w:t>
      </w:r>
    </w:p>
    <w:p>
      <w:pPr>
        <w:pStyle w:val="ListNumber"/>
      </w:pPr>
      <w:r>
        <w:t>цифровая медицина, медицинская документация и телемедицинское взаимодействие;</w:t>
      </w:r>
    </w:p>
    <w:p>
      <w:pPr>
        <w:pStyle w:val="ListNumber"/>
      </w:pPr>
      <w:r>
        <w:t>инфекционная безопасность и лабораторные алгоритмы в пределах лицензированных программ.</w:t>
      </w:r>
    </w:p>
    <w:p>
      <w:r>
        <w:t>Финальный перечень зон определяется не красивой концепцией, а перечнем лицензированных программ, навыков, помещений и инфраструктурным листом.</w:t>
      </w:r>
    </w:p>
    <w:p>
      <w:pPr>
        <w:pStyle w:val="Heading1"/>
      </w:pPr>
      <w:r>
        <w:t>8. На что разрешалось направлять грант</w:t>
      </w:r>
    </w:p>
    <w:p>
      <w:r>
        <w:t>По официальной презентации конкурса на 2027 год:</w:t>
      </w:r>
    </w:p>
    <w:p>
      <w:pPr>
        <w:pStyle w:val="ListBullet"/>
      </w:pPr>
      <w:r>
        <w:t>приобретение оборудования;</w:t>
      </w:r>
    </w:p>
    <w:p>
      <w:pPr>
        <w:pStyle w:val="ListBullet"/>
      </w:pPr>
      <w:r>
        <w:t>приобретение программного обеспечения для программы деятельности кластера;</w:t>
      </w:r>
    </w:p>
    <w:p>
      <w:pPr>
        <w:pStyle w:val="ListBullet"/>
      </w:pPr>
      <w:r>
        <w:t>капитальный ремонт учебной и производственной инфраструктуры, необходимый для ввода оборудования в эксплуатацию;</w:t>
      </w:r>
    </w:p>
    <w:p>
      <w:pPr>
        <w:pStyle w:val="ListBullet"/>
      </w:pPr>
      <w:r>
        <w:t>приобретение учебников, учебных пособий, учебно-методических материалов, средств обучения и воспитания для формирования компетенций по работе на приобретенном оборудовании.</w:t>
      </w:r>
    </w:p>
    <w:p>
      <w:r>
        <w:t>Ограничения:</w:t>
      </w:r>
    </w:p>
    <w:p>
      <w:pPr>
        <w:pStyle w:val="ListBullet"/>
      </w:pPr>
      <w:r>
        <w:t>оборудование должно относиться к основным средствам со сроком полезного использования более 12 месяцев;</w:t>
      </w:r>
    </w:p>
    <w:p>
      <w:pPr>
        <w:pStyle w:val="ListBullet"/>
      </w:pPr>
      <w:r>
        <w:t>нельзя подменять капитальный ремонт текущим ремонтом или реконструкцией;</w:t>
      </w:r>
    </w:p>
    <w:p>
      <w:pPr>
        <w:pStyle w:val="ListBullet"/>
      </w:pPr>
      <w:r>
        <w:t>зоны за счет гранта создаются в базовой образовательной организации, без распределения по филиалам грантополучателя;</w:t>
      </w:r>
    </w:p>
    <w:p>
      <w:pPr>
        <w:pStyle w:val="ListBullet"/>
      </w:pPr>
      <w:r>
        <w:t>зоны должны располагаться близко друг к другу;</w:t>
      </w:r>
    </w:p>
    <w:p>
      <w:pPr>
        <w:pStyle w:val="ListBullet"/>
      </w:pPr>
      <w:r>
        <w:t>нельзя размещать зоны в столовых, актовых и спортивных залах, рекреациях и других помещениях общего назначения;</w:t>
      </w:r>
    </w:p>
    <w:p>
      <w:pPr>
        <w:pStyle w:val="ListBullet"/>
      </w:pPr>
      <w:r>
        <w:t>нельзя создавать грантовые зоны на территории работодателей;</w:t>
      </w:r>
    </w:p>
    <w:p>
      <w:pPr>
        <w:pStyle w:val="ListBullet"/>
      </w:pPr>
      <w:r>
        <w:t>нельзя дооснащать за счет этого гранта мастерские, созданные в рамках других федеральных проектов;</w:t>
      </w:r>
    </w:p>
    <w:p>
      <w:pPr>
        <w:pStyle w:val="ListBullet"/>
      </w:pPr>
      <w:r>
        <w:t>объект недвижимости на дату подачи должен находиться в оперативном управлении организации. При отсутствии требуется гарантийное письмо регионального органа о передаче объекта к началу года предоставления гранта;</w:t>
      </w:r>
    </w:p>
    <w:p>
      <w:pPr>
        <w:pStyle w:val="ListBullet"/>
      </w:pPr>
      <w:r>
        <w:t>при закупках учитывается приоритет товаров российского происхождения.</w:t>
      </w:r>
    </w:p>
    <w:p>
      <w:pPr>
        <w:pStyle w:val="Heading1"/>
      </w:pPr>
      <w:r>
        <w:t>9. Показатели и критерии оценки</w:t>
      </w:r>
    </w:p>
    <w:p>
      <w:r>
        <w:t>В конкурсе на кластеры 2026 года применялись семь критериев, всего 100 баллов:</w:t>
      </w:r>
    </w:p>
    <w:p>
      <w:pPr>
        <w:pStyle w:val="ListNumber"/>
      </w:pPr>
      <w:r>
        <w:t>количество обучающихся по программам «Профессионалитета»: 20 баллов;</w:t>
      </w:r>
    </w:p>
    <w:p>
      <w:pPr>
        <w:pStyle w:val="ListNumber"/>
      </w:pPr>
      <w:r>
        <w:t>количество профессий и специальностей: 20 баллов;</w:t>
      </w:r>
    </w:p>
    <w:p>
      <w:pPr>
        <w:pStyle w:val="ListNumber"/>
      </w:pPr>
      <w:r>
        <w:t>количество работников работодателей, включенных в образовательный процесс: 5 баллов;</w:t>
      </w:r>
    </w:p>
    <w:p>
      <w:pPr>
        <w:pStyle w:val="ListNumber"/>
      </w:pPr>
      <w:r>
        <w:t>количество договоров о целевом обучении с гарантией трудоустройства: 5 баллов;</w:t>
      </w:r>
    </w:p>
    <w:p>
      <w:pPr>
        <w:pStyle w:val="ListNumber"/>
      </w:pPr>
      <w:r>
        <w:t>участники молодежных медиацентров: 5 баллов;</w:t>
      </w:r>
    </w:p>
    <w:p>
      <w:pPr>
        <w:pStyle w:val="ListNumber"/>
      </w:pPr>
      <w:r>
        <w:t>участники команд амбассадоров «Профессионалитета»: 5 баллов;</w:t>
      </w:r>
    </w:p>
    <w:p>
      <w:pPr>
        <w:pStyle w:val="ListNumber"/>
      </w:pPr>
      <w:r>
        <w:t>объем средств региона и работодателей на инфраструктуру и ремонт: 40 баллов.</w:t>
      </w:r>
    </w:p>
    <w:p>
      <w:r>
        <w:t>То есть 80 из 100 баллов зависят от четырех вещей:</w:t>
      </w:r>
    </w:p>
    <w:p>
      <w:pPr>
        <w:pStyle w:val="ListBullet"/>
      </w:pPr>
      <w:r>
        <w:t>масштаб обучающихся;</w:t>
      </w:r>
    </w:p>
    <w:p>
      <w:pPr>
        <w:pStyle w:val="ListBullet"/>
      </w:pPr>
      <w:r>
        <w:t>число программ;</w:t>
      </w:r>
    </w:p>
    <w:p>
      <w:pPr>
        <w:pStyle w:val="ListBullet"/>
      </w:pPr>
      <w:r>
        <w:t>целевые договоры;</w:t>
      </w:r>
    </w:p>
    <w:p>
      <w:pPr>
        <w:pStyle w:val="ListBullet"/>
      </w:pPr>
      <w:r>
        <w:t>подтвержденное софинансирование.</w:t>
      </w:r>
    </w:p>
    <w:p>
      <w:pPr>
        <w:pStyle w:val="Heading2"/>
      </w:pPr>
      <w:r>
        <w:t>Средние показатели победителей медицинского лота конкурса на 2026 год</w:t>
      </w:r>
    </w:p>
    <w:p>
      <w:r>
        <w:t>Официальный ориентир по лоту № 12:</w:t>
      </w:r>
    </w:p>
    <w:p>
      <w:pPr>
        <w:pStyle w:val="ListBullet"/>
      </w:pPr>
      <w:r>
        <w:t>обучающиеся: 3 167;</w:t>
      </w:r>
    </w:p>
    <w:p>
      <w:pPr>
        <w:pStyle w:val="ListBullet"/>
      </w:pPr>
      <w:r>
        <w:t>профессии/специальности: 6;</w:t>
      </w:r>
    </w:p>
    <w:p>
      <w:pPr>
        <w:pStyle w:val="ListBullet"/>
      </w:pPr>
      <w:r>
        <w:t>работники работодателей в образовательном процессе: 159;</w:t>
      </w:r>
    </w:p>
    <w:p>
      <w:pPr>
        <w:pStyle w:val="ListBullet"/>
      </w:pPr>
      <w:r>
        <w:t>договоры о целевом обучении: 323;</w:t>
      </w:r>
    </w:p>
    <w:p>
      <w:pPr>
        <w:pStyle w:val="ListBullet"/>
      </w:pPr>
      <w:r>
        <w:t>участники медиацентров: 75;</w:t>
      </w:r>
    </w:p>
    <w:p>
      <w:pPr>
        <w:pStyle w:val="ListBullet"/>
      </w:pPr>
      <w:r>
        <w:t>амбассадоры: 73;</w:t>
      </w:r>
    </w:p>
    <w:p>
      <w:pPr>
        <w:pStyle w:val="ListBullet"/>
      </w:pPr>
      <w:r>
        <w:t>региональное и внебюджетное софинансирование: 63,296 млн рублей.</w:t>
      </w:r>
    </w:p>
    <w:p>
      <w:r>
        <w:t>Это не обязательные минимумы и не гарантия победы. Это фактические средние ориентиры победителей предыдущего отбора. Формулу и период расчета нужно взять из новой документации.</w:t>
      </w:r>
    </w:p>
    <w:p>
      <w:pPr>
        <w:pStyle w:val="Heading1"/>
      </w:pPr>
      <w:r>
        <w:t>10. Пакет документов</w:t>
      </w:r>
    </w:p>
    <w:p>
      <w:r>
        <w:t>По официальным материалам конкурса на 2027 год в заявку входили:</w:t>
      </w:r>
    </w:p>
    <w:p>
      <w:pPr>
        <w:pStyle w:val="ListNumber"/>
      </w:pPr>
      <w:r>
        <w:t>опись документов, форма 1;</w:t>
      </w:r>
    </w:p>
    <w:p>
      <w:pPr>
        <w:pStyle w:val="ListNumber"/>
      </w:pPr>
      <w:r>
        <w:t>сопроводительное письмо, форма 2;</w:t>
      </w:r>
    </w:p>
    <w:p>
      <w:pPr>
        <w:pStyle w:val="ListNumber"/>
      </w:pPr>
      <w:r>
        <w:t>типовая программа деятельности кластера, форма 3;</w:t>
      </w:r>
    </w:p>
    <w:p>
      <w:pPr>
        <w:pStyle w:val="ListNumber"/>
      </w:pPr>
      <w:r>
        <w:t>согласие участника кластера, претендующего на грант, форма 4;</w:t>
      </w:r>
    </w:p>
    <w:p>
      <w:pPr>
        <w:pStyle w:val="ListNumber"/>
      </w:pPr>
      <w:r>
        <w:t>согласие учредителя, форма 5, если инициатор и учредитель являются разными юридическими лицами;</w:t>
      </w:r>
    </w:p>
    <w:p>
      <w:pPr>
        <w:pStyle w:val="ListNumber"/>
      </w:pPr>
      <w:r>
        <w:t>документы о полномочиях подписанта;</w:t>
      </w:r>
    </w:p>
    <w:p>
      <w:pPr>
        <w:pStyle w:val="ListNumber"/>
      </w:pPr>
      <w:r>
        <w:t>гарантийные письма работодателей;</w:t>
      </w:r>
    </w:p>
    <w:p>
      <w:pPr>
        <w:pStyle w:val="ListNumber"/>
      </w:pPr>
      <w:r>
        <w:t>копии лицензий на образовательную деятельность;</w:t>
      </w:r>
    </w:p>
    <w:p>
      <w:pPr>
        <w:pStyle w:val="ListNumber"/>
      </w:pPr>
      <w:r>
        <w:t>при отсутствии нужной лицензии: гарантийное письмо руководителя регионального органа о получении лицензии к началу учебного года в год гранта;</w:t>
      </w:r>
    </w:p>
    <w:p>
      <w:pPr>
        <w:pStyle w:val="ListNumber"/>
      </w:pPr>
      <w:r>
        <w:t>согласие учредителя на участие и последующее заключение соглашения, для портала — PDF;</w:t>
      </w:r>
    </w:p>
    <w:p>
      <w:pPr>
        <w:pStyle w:val="ListNumber"/>
      </w:pPr>
      <w:r>
        <w:t>устав заявителя;</w:t>
      </w:r>
    </w:p>
    <w:p>
      <w:pPr>
        <w:pStyle w:val="ListNumber"/>
      </w:pPr>
      <w:r>
        <w:t>документы и гарантии по недвижимости;</w:t>
      </w:r>
    </w:p>
    <w:p>
      <w:pPr>
        <w:pStyle w:val="ListNumber"/>
      </w:pPr>
      <w:r>
        <w:t>подтверждения регионального и внебюджетного финансирования;</w:t>
      </w:r>
    </w:p>
    <w:p>
      <w:pPr>
        <w:pStyle w:val="ListNumber"/>
      </w:pPr>
      <w:r>
        <w:t>документы, предусмотренные новым объявлением.</w:t>
      </w:r>
    </w:p>
    <w:p>
      <w:r>
        <w:t>Программа деятельности включает:</w:t>
      </w:r>
    </w:p>
    <w:p>
      <w:pPr>
        <w:pStyle w:val="ListBullet"/>
      </w:pPr>
      <w:r>
        <w:t>раздел 1: общие положения;</w:t>
      </w:r>
    </w:p>
    <w:p>
      <w:pPr>
        <w:pStyle w:val="ListBullet"/>
      </w:pPr>
      <w:r>
        <w:t>раздел 2: миссия, стратегическая цель, задачи и направления;</w:t>
      </w:r>
    </w:p>
    <w:p>
      <w:pPr>
        <w:pStyle w:val="ListBullet"/>
      </w:pPr>
      <w:r>
        <w:t>раздел 3: организационная структура;</w:t>
      </w:r>
    </w:p>
    <w:p>
      <w:pPr>
        <w:pStyle w:val="ListBullet"/>
      </w:pPr>
      <w:r>
        <w:t>раздел 4: мероприятия и этапы;</w:t>
      </w:r>
    </w:p>
    <w:p>
      <w:pPr>
        <w:pStyle w:val="ListBullet"/>
      </w:pPr>
      <w:r>
        <w:t>раздел 5: финансовое и материально-техническое обеспечение;</w:t>
      </w:r>
    </w:p>
    <w:p>
      <w:pPr>
        <w:pStyle w:val="ListBullet"/>
      </w:pPr>
      <w:r>
        <w:t>раздел 6: показатели результативности и риски;</w:t>
      </w:r>
    </w:p>
    <w:p>
      <w:pPr>
        <w:pStyle w:val="ListBullet"/>
      </w:pPr>
      <w:r>
        <w:t>приложение 1: участники кластера;</w:t>
      </w:r>
    </w:p>
    <w:p>
      <w:pPr>
        <w:pStyle w:val="ListBullet"/>
      </w:pPr>
      <w:r>
        <w:t>приложение 2: план мероприятий;</w:t>
      </w:r>
    </w:p>
    <w:p>
      <w:pPr>
        <w:pStyle w:val="ListBullet"/>
      </w:pPr>
      <w:r>
        <w:t>приложение 3: финансовое обеспечение;</w:t>
      </w:r>
    </w:p>
    <w:p>
      <w:pPr>
        <w:pStyle w:val="ListBullet"/>
      </w:pPr>
      <w:r>
        <w:t>приложение 4: пообъектный план модернизации материально-технической базы;</w:t>
      </w:r>
    </w:p>
    <w:p>
      <w:pPr>
        <w:pStyle w:val="ListBullet"/>
      </w:pPr>
      <w:r>
        <w:t>приложение 5: плановые показатели результативности.</w:t>
      </w:r>
    </w:p>
    <w:p>
      <w:pPr>
        <w:pStyle w:val="Heading1"/>
      </w:pPr>
      <w:r>
        <w:t>11. Как проходит конкурс</w:t>
      </w:r>
    </w:p>
    <w:p>
      <w:pPr>
        <w:pStyle w:val="Heading2"/>
      </w:pPr>
      <w:r>
        <w:t>Этап 1. Региональное решение</w:t>
      </w:r>
    </w:p>
    <w:p>
      <w:r>
        <w:t>До федеральной подачи проект должен быть поддержан учредителем, отраслевым органом и региональным координационным органом. Без этого колледж не сможет обеспечить подписи, софинансирование и гарантии.</w:t>
      </w:r>
    </w:p>
    <w:p>
      <w:pPr>
        <w:pStyle w:val="Heading2"/>
      </w:pPr>
      <w:r>
        <w:t>Этап 2. Формирование консорциума</w:t>
      </w:r>
    </w:p>
    <w:p>
      <w:r>
        <w:t>Колледж и работодатели фиксируют кадровый заказ, практику, наставников, целевые договоры, рабочие места, деньги и имущество.</w:t>
      </w:r>
    </w:p>
    <w:p>
      <w:pPr>
        <w:pStyle w:val="Heading2"/>
      </w:pPr>
      <w:r>
        <w:t>Этап 3. Подготовка программы и инфраструктуры</w:t>
      </w:r>
    </w:p>
    <w:p>
      <w:r>
        <w:t>Проводятся:</w:t>
      </w:r>
    </w:p>
    <w:p>
      <w:pPr>
        <w:pStyle w:val="ListBullet"/>
      </w:pPr>
      <w:r>
        <w:t>аудит помещений;</w:t>
      </w:r>
    </w:p>
    <w:p>
      <w:pPr>
        <w:pStyle w:val="ListBullet"/>
      </w:pPr>
      <w:r>
        <w:t>аудит лицензий и программ;</w:t>
      </w:r>
    </w:p>
    <w:p>
      <w:pPr>
        <w:pStyle w:val="ListBullet"/>
      </w:pPr>
      <w:r>
        <w:t>обследование инженерных сетей;</w:t>
      </w:r>
    </w:p>
    <w:p>
      <w:pPr>
        <w:pStyle w:val="ListBullet"/>
      </w:pPr>
      <w:r>
        <w:t>выбор зон;</w:t>
      </w:r>
    </w:p>
    <w:p>
      <w:pPr>
        <w:pStyle w:val="ListBullet"/>
      </w:pPr>
      <w:r>
        <w:t>разработка инфраструктурного листа;</w:t>
      </w:r>
    </w:p>
    <w:p>
      <w:pPr>
        <w:pStyle w:val="ListBullet"/>
      </w:pPr>
      <w:r>
        <w:t>проектирование капитального ремонта;</w:t>
      </w:r>
    </w:p>
    <w:p>
      <w:pPr>
        <w:pStyle w:val="ListBullet"/>
      </w:pPr>
      <w:r>
        <w:t>проверка российского происхождения оборудования и аналогов;</w:t>
      </w:r>
    </w:p>
    <w:p>
      <w:pPr>
        <w:pStyle w:val="ListBullet"/>
      </w:pPr>
      <w:r>
        <w:t>финансовый расчет на три года.</w:t>
      </w:r>
    </w:p>
    <w:p>
      <w:pPr>
        <w:pStyle w:val="Heading2"/>
      </w:pPr>
      <w:r>
        <w:t>Этап 4. Заявка на портале</w:t>
      </w:r>
    </w:p>
    <w:p>
      <w:r>
        <w:t>В конкурсе на 2027 год портал требовал заполнить:</w:t>
      </w:r>
    </w:p>
    <w:p>
      <w:pPr>
        <w:pStyle w:val="ListBullet"/>
      </w:pPr>
      <w:r>
        <w:t>сведения о проекте;</w:t>
      </w:r>
    </w:p>
    <w:p>
      <w:pPr>
        <w:pStyle w:val="ListBullet"/>
      </w:pPr>
      <w:r>
        <w:t>руководителя;</w:t>
      </w:r>
    </w:p>
    <w:p>
      <w:pPr>
        <w:pStyle w:val="ListBullet"/>
      </w:pPr>
      <w:r>
        <w:t>команду;</w:t>
      </w:r>
    </w:p>
    <w:p>
      <w:pPr>
        <w:pStyle w:val="ListBullet"/>
      </w:pPr>
      <w:r>
        <w:t>заявителя;</w:t>
      </w:r>
    </w:p>
    <w:p>
      <w:pPr>
        <w:pStyle w:val="ListBullet"/>
      </w:pPr>
      <w:r>
        <w:t>план;</w:t>
      </w:r>
    </w:p>
    <w:p>
      <w:pPr>
        <w:pStyle w:val="ListBullet"/>
      </w:pPr>
      <w:r>
        <w:t>бюджет;</w:t>
      </w:r>
    </w:p>
    <w:p>
      <w:pPr>
        <w:pStyle w:val="ListBullet"/>
      </w:pPr>
      <w:r>
        <w:t>требования к участнику;</w:t>
      </w:r>
    </w:p>
    <w:p>
      <w:pPr>
        <w:pStyle w:val="ListBullet"/>
      </w:pPr>
      <w:r>
        <w:t>данные получателя;</w:t>
      </w:r>
    </w:p>
    <w:p>
      <w:pPr>
        <w:pStyle w:val="ListBullet"/>
      </w:pPr>
      <w:r>
        <w:t>раздел подачи.</w:t>
      </w:r>
    </w:p>
    <w:p>
      <w:r>
        <w:t>Автозагрузка сведений из ЕГРЮЛ могла занимать 1–5 дней, автоматическая проверка — до 7 дней. Проект заявки следует создавать сразу после открытия приема.</w:t>
      </w:r>
    </w:p>
    <w:p>
      <w:r>
        <w:t>Подписание:</w:t>
      </w:r>
    </w:p>
    <w:p>
      <w:pPr>
        <w:pStyle w:val="ListBullet"/>
      </w:pPr>
      <w:r>
        <w:t>усиленная квалифицированная электронная подпись организации;</w:t>
      </w:r>
    </w:p>
    <w:p>
      <w:pPr>
        <w:pStyle w:val="ListBullet"/>
      </w:pPr>
      <w:r>
        <w:t>в сертификате должны быть корректные ФИО, ОГРН и наименование;</w:t>
      </w:r>
    </w:p>
    <w:p>
      <w:pPr>
        <w:pStyle w:val="ListBullet"/>
      </w:pPr>
      <w:r>
        <w:t>нужен действующий сертификат и КриптоПро;</w:t>
      </w:r>
    </w:p>
    <w:p>
      <w:pPr>
        <w:pStyle w:val="ListBullet"/>
      </w:pPr>
      <w:r>
        <w:t>подписывает заявитель либо уполномоченное лицо с корректной доверенностью.</w:t>
      </w:r>
    </w:p>
    <w:p>
      <w:pPr>
        <w:pStyle w:val="Heading2"/>
      </w:pPr>
      <w:r>
        <w:t>Этап 5. Техническая экспертиза</w:t>
      </w:r>
    </w:p>
    <w:p>
      <w:r>
        <w:t>В конкурсе на 2026 год поступило 426 заявок, 135 были отклонены технически, до рейтинга допущена 291 заявка. Причины:</w:t>
      </w:r>
    </w:p>
    <w:p>
      <w:pPr>
        <w:pStyle w:val="ListBullet"/>
      </w:pPr>
      <w:r>
        <w:t>неправильные полномочия подписанта;</w:t>
      </w:r>
    </w:p>
    <w:p>
      <w:pPr>
        <w:pStyle w:val="ListBullet"/>
      </w:pPr>
      <w:r>
        <w:t>отсутствие подписей, печатей и официальных бланков;</w:t>
      </w:r>
    </w:p>
    <w:p>
      <w:pPr>
        <w:pStyle w:val="ListBullet"/>
      </w:pPr>
      <w:r>
        <w:t>неправильный лот;</w:t>
      </w:r>
    </w:p>
    <w:p>
      <w:pPr>
        <w:pStyle w:val="ListBullet"/>
      </w:pPr>
      <w:r>
        <w:t>устаревшая или измененная форма программы;</w:t>
      </w:r>
    </w:p>
    <w:p>
      <w:pPr>
        <w:pStyle w:val="ListBullet"/>
      </w:pPr>
      <w:r>
        <w:t>отсутствие согласований;</w:t>
      </w:r>
    </w:p>
    <w:p>
      <w:pPr>
        <w:pStyle w:val="ListBullet"/>
      </w:pPr>
      <w:r>
        <w:t>неправильные коды и названия специальностей;</w:t>
      </w:r>
    </w:p>
    <w:p>
      <w:pPr>
        <w:pStyle w:val="ListBullet"/>
      </w:pPr>
      <w:r>
        <w:t>специальности, на которые прекращен прием;</w:t>
      </w:r>
    </w:p>
    <w:p>
      <w:pPr>
        <w:pStyle w:val="ListBullet"/>
      </w:pPr>
      <w:r>
        <w:t>неполный комплект документов;</w:t>
      </w:r>
    </w:p>
    <w:p>
      <w:pPr>
        <w:pStyle w:val="ListBullet"/>
      </w:pPr>
      <w:r>
        <w:t>расхождения между файлами и полями портала.</w:t>
      </w:r>
    </w:p>
    <w:p>
      <w:pPr>
        <w:pStyle w:val="Heading2"/>
      </w:pPr>
      <w:r>
        <w:t>Этап 6. Рейтингование</w:t>
      </w:r>
    </w:p>
    <w:p>
      <w:r>
        <w:t>Заявки внутри каждого лота ранжируются по критериям. При равенстве баллов учитывалась очередность поступления заявки. Поэтому подавать в последнюю минуту невыгодно.</w:t>
      </w:r>
    </w:p>
    <w:p>
      <w:pPr>
        <w:pStyle w:val="Heading2"/>
      </w:pPr>
      <w:r>
        <w:t>Этап 7. Определение победителей и соглашение</w:t>
      </w:r>
    </w:p>
    <w:p>
      <w:r>
        <w:t>После публикации результата получатель заключает соглашение о предоставлении гранта, выполняет программу, ведет закупки и ремонт, достигает показателей и отчитывается.</w:t>
      </w:r>
    </w:p>
    <w:p>
      <w:pPr>
        <w:pStyle w:val="Heading1"/>
      </w:pPr>
      <w:r>
        <w:t>12. Как проходит защита</w:t>
      </w:r>
    </w:p>
    <w:p>
      <w:r>
        <w:t>В изученных официальных материалах федерального конкурса на 2026 и 2027 годы отдельный обязательный этап очной или онлайн-защиты перед федеральной комиссией не установлен. Официально видны два этапа: техническое рассмотрение и рейтингование документов.</w:t>
      </w:r>
    </w:p>
    <w:p>
      <w:r>
        <w:t>Если директора колледжа приглашают на «защиту», это может быть:</w:t>
      </w:r>
    </w:p>
    <w:p>
      <w:pPr>
        <w:pStyle w:val="ListBullet"/>
      </w:pPr>
      <w:r>
        <w:t>региональный отбор проектов;</w:t>
      </w:r>
    </w:p>
    <w:p>
      <w:pPr>
        <w:pStyle w:val="ListBullet"/>
      </w:pPr>
      <w:r>
        <w:t>заседание регионального наблюдательного или межведомственного совета;</w:t>
      </w:r>
    </w:p>
    <w:p>
      <w:pPr>
        <w:pStyle w:val="ListBullet"/>
      </w:pPr>
      <w:r>
        <w:t>презентация перед Минздравом/Правительством РБ;</w:t>
      </w:r>
    </w:p>
    <w:p>
      <w:pPr>
        <w:pStyle w:val="ListBullet"/>
      </w:pPr>
      <w:r>
        <w:t>методическая экспертиза;</w:t>
      </w:r>
    </w:p>
    <w:p>
      <w:pPr>
        <w:pStyle w:val="ListBullet"/>
      </w:pPr>
      <w:r>
        <w:t>внутренняя защита концепции перед партнерами.</w:t>
      </w:r>
    </w:p>
    <w:p>
      <w:r>
        <w:t>До подготовки выступления нужно получить название органа, регламент, критерии, длительность и состав комиссии. Нельзя считать, что защита проходит в Калуге или является обязательной частью федерального конкурса, пока это не подтверждено регламентом конкретного цикла.</w:t>
      </w:r>
    </w:p>
    <w:p>
      <w:pPr>
        <w:pStyle w:val="Heading2"/>
      </w:pPr>
      <w:r>
        <w:t>Рекомендуемая структура презентации на 10–12 слайдов</w:t>
      </w:r>
    </w:p>
    <w:p>
      <w:pPr>
        <w:pStyle w:val="ListNumber"/>
      </w:pPr>
      <w:r>
        <w:t>кадровая проблема территории;</w:t>
      </w:r>
    </w:p>
    <w:p>
      <w:pPr>
        <w:pStyle w:val="ListNumber"/>
      </w:pPr>
      <w:r>
        <w:t>охват территорий и населения;</w:t>
      </w:r>
    </w:p>
    <w:p>
      <w:pPr>
        <w:pStyle w:val="ListNumber"/>
      </w:pPr>
      <w:r>
        <w:t>колледж и его текущая база;</w:t>
      </w:r>
    </w:p>
    <w:p>
      <w:pPr>
        <w:pStyle w:val="ListNumber"/>
      </w:pPr>
      <w:r>
        <w:t>работодатели и подтвержденная кадровая потребность;</w:t>
      </w:r>
    </w:p>
    <w:p>
      <w:pPr>
        <w:pStyle w:val="ListNumber"/>
      </w:pPr>
      <w:r>
        <w:t>специальности и число обучающихся;</w:t>
      </w:r>
    </w:p>
    <w:p>
      <w:pPr>
        <w:pStyle w:val="ListNumber"/>
      </w:pPr>
      <w:r>
        <w:t>модель практики и наставничества;</w:t>
      </w:r>
    </w:p>
    <w:p>
      <w:pPr>
        <w:pStyle w:val="ListNumber"/>
      </w:pPr>
      <w:r>
        <w:t>зоны и оборудование;</w:t>
      </w:r>
    </w:p>
    <w:p>
      <w:pPr>
        <w:pStyle w:val="ListNumber"/>
      </w:pPr>
      <w:r>
        <w:t>бюджет: федеральные, региональные и партнерские средства;</w:t>
      </w:r>
    </w:p>
    <w:p>
      <w:pPr>
        <w:pStyle w:val="ListNumber"/>
      </w:pPr>
      <w:r>
        <w:t>целевые договоры и трудоустройство;</w:t>
      </w:r>
    </w:p>
    <w:p>
      <w:pPr>
        <w:pStyle w:val="ListNumber"/>
      </w:pPr>
      <w:r>
        <w:t>показатели на три года;</w:t>
      </w:r>
    </w:p>
    <w:p>
      <w:pPr>
        <w:pStyle w:val="ListNumber"/>
      </w:pPr>
      <w:r>
        <w:t>календарь запуска;</w:t>
      </w:r>
    </w:p>
    <w:p>
      <w:pPr>
        <w:pStyle w:val="ListNumber"/>
      </w:pPr>
      <w:r>
        <w:t>риски и устойчивость после гранта.</w:t>
      </w:r>
    </w:p>
    <w:p>
      <w:pPr>
        <w:pStyle w:val="Heading1"/>
      </w:pPr>
      <w:r>
        <w:t>13. Пошаговый план действий</w:t>
      </w:r>
    </w:p>
    <w:p>
      <w:pPr>
        <w:pStyle w:val="Heading2"/>
      </w:pPr>
      <w:r>
        <w:t>Первые 10 рабочих дней</w:t>
      </w:r>
    </w:p>
    <w:p>
      <w:pPr>
        <w:pStyle w:val="ListNumber"/>
      </w:pPr>
      <w:r>
        <w:t>Издать приказ директора о проектной группе.</w:t>
      </w:r>
    </w:p>
    <w:p>
      <w:pPr>
        <w:pStyle w:val="ListNumber"/>
      </w:pPr>
      <w:r>
        <w:t>Назначить руководителя заявки и заместителя.</w:t>
      </w:r>
    </w:p>
    <w:p>
      <w:pPr>
        <w:pStyle w:val="ListNumber"/>
      </w:pPr>
      <w:r>
        <w:t>Получить официальную позицию учредителя: поддерживает ли Минздрав РБ отдельный белорецкий кластер.</w:t>
      </w:r>
    </w:p>
    <w:p>
      <w:pPr>
        <w:pStyle w:val="ListNumber"/>
      </w:pPr>
      <w:r>
        <w:t>Запросить у Минздрава РБ сведения о следующем конкурсном цикле и региональном координаторе.</w:t>
      </w:r>
    </w:p>
    <w:p>
      <w:pPr>
        <w:pStyle w:val="ListNumber"/>
      </w:pPr>
      <w:r>
        <w:t>Обратиться в ИРПО с вопросом об отборе 2028 года и возможности второго медицинского кластера в одном субъекте.</w:t>
      </w:r>
    </w:p>
    <w:p>
      <w:pPr>
        <w:pStyle w:val="ListNumber"/>
      </w:pPr>
      <w:r>
        <w:t>Провести рабочую встречу с Белорецкой ЦРКБ.</w:t>
      </w:r>
    </w:p>
    <w:p>
      <w:pPr>
        <w:pStyle w:val="ListNumber"/>
      </w:pPr>
      <w:r>
        <w:t>Запросить у Бирского колледжа программу, смету, инфраструктурный лист, соглашение о партнерстве и итоговые показатели в допустимом для передачи объеме.</w:t>
      </w:r>
    </w:p>
    <w:p>
      <w:pPr>
        <w:pStyle w:val="ListNumber"/>
      </w:pPr>
      <w:r>
        <w:t>Создать защищенное хранилище проекта и реестр версий документов.</w:t>
      </w:r>
    </w:p>
    <w:p>
      <w:pPr>
        <w:pStyle w:val="Heading2"/>
      </w:pPr>
      <w:r>
        <w:t>Дни 11–30</w:t>
      </w:r>
    </w:p>
    <w:p>
      <w:pPr>
        <w:pStyle w:val="ListNumber"/>
      </w:pPr>
      <w:r>
        <w:t>Собрать кадровую потребность по Белорецку, Учалам, Бурзянскому, Абзелиловскому районам и Межгорью.</w:t>
      </w:r>
    </w:p>
    <w:p>
      <w:pPr>
        <w:pStyle w:val="ListNumber"/>
      </w:pPr>
      <w:r>
        <w:t>Получить от каждого работодателя:</w:t>
      </w:r>
    </w:p>
    <w:p>
      <w:r>
        <w:t xml:space="preserve">   - вакансии среднего медперсонала;</w:t>
      </w:r>
    </w:p>
    <w:p>
      <w:r>
        <w:t xml:space="preserve">   - прогноз на три года;</w:t>
      </w:r>
    </w:p>
    <w:p>
      <w:r>
        <w:t xml:space="preserve">   - места практики;</w:t>
      </w:r>
    </w:p>
    <w:p>
      <w:r>
        <w:t xml:space="preserve">   - наставников;</w:t>
      </w:r>
    </w:p>
    <w:p>
      <w:r>
        <w:t xml:space="preserve">   - число целевых договоров;</w:t>
      </w:r>
    </w:p>
    <w:p>
      <w:r>
        <w:t xml:space="preserve">   - гарантированные рабочие места;</w:t>
      </w:r>
    </w:p>
    <w:p>
      <w:r>
        <w:t xml:space="preserve">   - финансовый или имущественный вклад.</w:t>
      </w:r>
    </w:p>
    <w:p>
      <w:pPr>
        <w:pStyle w:val="ListNumber"/>
      </w:pPr>
      <w:r>
        <w:t>Провести аудит лицензий и набора по специальностям.</w:t>
      </w:r>
    </w:p>
    <w:p>
      <w:pPr>
        <w:pStyle w:val="ListNumber"/>
      </w:pPr>
      <w:r>
        <w:t>Провести аудит недвижимости, оперативного управления и инженерных сетей.</w:t>
      </w:r>
    </w:p>
    <w:p>
      <w:pPr>
        <w:pStyle w:val="ListNumber"/>
      </w:pPr>
      <w:r>
        <w:t>Составить карту текущего оборудования и дефицитов.</w:t>
      </w:r>
    </w:p>
    <w:p>
      <w:pPr>
        <w:pStyle w:val="ListNumber"/>
      </w:pPr>
      <w:r>
        <w:t>Решить, нужны ли сетевые колледжи для достижения масштаба шести программ.</w:t>
      </w:r>
    </w:p>
    <w:p>
      <w:pPr>
        <w:pStyle w:val="Heading2"/>
      </w:pPr>
      <w:r>
        <w:t>Дни 31–60</w:t>
      </w:r>
    </w:p>
    <w:p>
      <w:pPr>
        <w:pStyle w:val="ListNumber"/>
      </w:pPr>
      <w:r>
        <w:t>Утвердить название, миссию и территорию кластера.</w:t>
      </w:r>
    </w:p>
    <w:p>
      <w:pPr>
        <w:pStyle w:val="ListNumber"/>
      </w:pPr>
      <w:r>
        <w:t>Утвердить состав участников.</w:t>
      </w:r>
    </w:p>
    <w:p>
      <w:pPr>
        <w:pStyle w:val="ListNumber"/>
      </w:pPr>
      <w:r>
        <w:t>Утвердить перечень программ.</w:t>
      </w:r>
    </w:p>
    <w:p>
      <w:pPr>
        <w:pStyle w:val="ListNumber"/>
      </w:pPr>
      <w:r>
        <w:t>Разработать модель практики с первого курса.</w:t>
      </w:r>
    </w:p>
    <w:p>
      <w:pPr>
        <w:pStyle w:val="ListNumber"/>
      </w:pPr>
      <w:r>
        <w:t>Составить перечень работников работодателей, входящих в обучение.</w:t>
      </w:r>
    </w:p>
    <w:p>
      <w:pPr>
        <w:pStyle w:val="ListNumber"/>
      </w:pPr>
      <w:r>
        <w:t>Подготовить план целевых договоров.</w:t>
      </w:r>
    </w:p>
    <w:p>
      <w:pPr>
        <w:pStyle w:val="ListNumber"/>
      </w:pPr>
      <w:r>
        <w:t>Сформировать зоны по видам работ.</w:t>
      </w:r>
    </w:p>
    <w:p>
      <w:pPr>
        <w:pStyle w:val="ListNumber"/>
      </w:pPr>
      <w:r>
        <w:t>Разработать инфраструктурный лист.</w:t>
      </w:r>
    </w:p>
    <w:p>
      <w:pPr>
        <w:pStyle w:val="ListNumber"/>
      </w:pPr>
      <w:r>
        <w:t>Сделать предварительную дефектную ведомость и смету капитального ремонта.</w:t>
      </w:r>
    </w:p>
    <w:p>
      <w:pPr>
        <w:pStyle w:val="ListNumber"/>
      </w:pPr>
      <w:r>
        <w:t>Собрать предложения по оборудованию и российским аналогам.</w:t>
      </w:r>
    </w:p>
    <w:p>
      <w:pPr>
        <w:pStyle w:val="ListNumber"/>
      </w:pPr>
      <w:r>
        <w:t>Сформировать финансовую модель не ниже реалистичного конкурентного уровня.</w:t>
      </w:r>
    </w:p>
    <w:p>
      <w:pPr>
        <w:pStyle w:val="Heading2"/>
      </w:pPr>
      <w:r>
        <w:t>Дни 61–90</w:t>
      </w:r>
    </w:p>
    <w:p>
      <w:pPr>
        <w:pStyle w:val="ListNumber"/>
      </w:pPr>
      <w:r>
        <w:t>Подготовить программу деятельности на три года.</w:t>
      </w:r>
    </w:p>
    <w:p>
      <w:pPr>
        <w:pStyle w:val="ListNumber"/>
      </w:pPr>
      <w:r>
        <w:t>Подготовить приложения 1–5 по форме последнего конкурса.</w:t>
      </w:r>
    </w:p>
    <w:p>
      <w:pPr>
        <w:pStyle w:val="ListNumber"/>
      </w:pPr>
      <w:r>
        <w:t>Подготовить соглашение о партнерстве.</w:t>
      </w:r>
    </w:p>
    <w:p>
      <w:pPr>
        <w:pStyle w:val="ListNumber"/>
      </w:pPr>
      <w:r>
        <w:t>Получить гарантийные письма работодателей.</w:t>
      </w:r>
    </w:p>
    <w:p>
      <w:pPr>
        <w:pStyle w:val="ListNumber"/>
      </w:pPr>
      <w:r>
        <w:t>Получить подтверждение софинансирования региона.</w:t>
      </w:r>
    </w:p>
    <w:p>
      <w:pPr>
        <w:pStyle w:val="ListNumber"/>
      </w:pPr>
      <w:r>
        <w:t>Получить решение регионального совета.</w:t>
      </w:r>
    </w:p>
    <w:p>
      <w:pPr>
        <w:pStyle w:val="ListNumber"/>
      </w:pPr>
      <w:r>
        <w:t>Провести юридическую и финансовую экспертизу.</w:t>
      </w:r>
    </w:p>
    <w:p>
      <w:pPr>
        <w:pStyle w:val="ListNumber"/>
      </w:pPr>
      <w:r>
        <w:t>Провести независимую «техническую экспертизу» комплекта по чек-листу причин отклонения.</w:t>
      </w:r>
    </w:p>
    <w:p>
      <w:pPr>
        <w:pStyle w:val="ListNumber"/>
      </w:pPr>
      <w:r>
        <w:t>Подготовить презентацию и ответы комиссии.</w:t>
      </w:r>
    </w:p>
    <w:p>
      <w:pPr>
        <w:pStyle w:val="Heading2"/>
      </w:pPr>
      <w:r>
        <w:t>После объявления нового конкурса</w:t>
      </w:r>
    </w:p>
    <w:p>
      <w:pPr>
        <w:pStyle w:val="ListNumber"/>
      </w:pPr>
      <w:r>
        <w:t>В течение 48 часов сравнить новую документацию с черновиком.</w:t>
      </w:r>
    </w:p>
    <w:p>
      <w:pPr>
        <w:pStyle w:val="ListNumber"/>
      </w:pPr>
      <w:r>
        <w:t>Полностью перенести документы в новые формы, не использовать старые шаблоны без проверки.</w:t>
      </w:r>
    </w:p>
    <w:p>
      <w:pPr>
        <w:pStyle w:val="ListNumber"/>
      </w:pPr>
      <w:r>
        <w:t>Создать проект заявки на портале в первые дни приема.</w:t>
      </w:r>
    </w:p>
    <w:p>
      <w:pPr>
        <w:pStyle w:val="ListNumber"/>
      </w:pPr>
      <w:r>
        <w:t>Проверить ЕГРЮЛ, полномочия, устав, учредителя, задолженности и УКЭП.</w:t>
      </w:r>
    </w:p>
    <w:p>
      <w:pPr>
        <w:pStyle w:val="ListNumber"/>
      </w:pPr>
      <w:r>
        <w:t>Загрузить каждый документ в назначенное поле.</w:t>
      </w:r>
    </w:p>
    <w:p>
      <w:pPr>
        <w:pStyle w:val="ListNumber"/>
      </w:pPr>
      <w:r>
        <w:t>Сверить цифры программы, приложений и портала.</w:t>
      </w:r>
    </w:p>
    <w:p>
      <w:pPr>
        <w:pStyle w:val="ListNumber"/>
      </w:pPr>
      <w:r>
        <w:t>Подать минимум за 3–5 рабочих дней до срока.</w:t>
      </w:r>
    </w:p>
    <w:p>
      <w:pPr>
        <w:pStyle w:val="ListNumber"/>
      </w:pPr>
      <w:r>
        <w:t>Сохранить подтверждение подачи и выгрузку заявки.</w:t>
      </w:r>
    </w:p>
    <w:p>
      <w:pPr>
        <w:pStyle w:val="Heading1"/>
      </w:pPr>
      <w:r>
        <w:t>14. Контакты</w:t>
      </w:r>
    </w:p>
    <w:p>
      <w:pPr>
        <w:pStyle w:val="Heading2"/>
      </w:pPr>
      <w:r>
        <w:t>ИРПО, федеральный методический оператор</w:t>
      </w:r>
    </w:p>
    <w:p>
      <w:pPr>
        <w:pStyle w:val="ListBullet"/>
      </w:pPr>
      <w:r>
        <w:t xml:space="preserve">сайт: </w:t>
      </w:r>
      <w:hyperlink r:id="rId17">
        <w:r>
          <w:rPr>
            <w:color w:val="0563C1"/>
            <w:u w:val="single"/>
          </w:rPr>
          <w:t>https://mtb-spo.firpo.ru/</w:t>
        </w:r>
      </w:hyperlink>
    </w:p>
    <w:p>
      <w:pPr>
        <w:pStyle w:val="ListBullet"/>
      </w:pPr>
      <w:r>
        <w:t>общий адрес по кластерам: cluster@firpo.ru</w:t>
      </w:r>
    </w:p>
    <w:p>
      <w:pPr>
        <w:pStyle w:val="ListBullet"/>
      </w:pPr>
      <w:r>
        <w:t>адрес конкурса 2027 года: cluster2027@firpo.ru</w:t>
      </w:r>
    </w:p>
    <w:p>
      <w:pPr>
        <w:pStyle w:val="ListBullet"/>
      </w:pPr>
      <w:r>
        <w:t>телефон: +7 (499) 009-05-51;</w:t>
      </w:r>
    </w:p>
    <w:p>
      <w:pPr>
        <w:pStyle w:val="ListBullet"/>
      </w:pPr>
      <w:r>
        <w:t>для конкурса 2027 указывались добавочные: 5037, 5039, 5059, 5060, 5062–5067, 5181, 5220, 5019;</w:t>
      </w:r>
    </w:p>
    <w:p>
      <w:pPr>
        <w:pStyle w:val="ListBullet"/>
      </w:pPr>
      <w:r>
        <w:t>по образовательным программам: irpoprofessionalitet@firpo.ru, добавочный 5086;</w:t>
      </w:r>
    </w:p>
    <w:p>
      <w:pPr>
        <w:pStyle w:val="ListBullet"/>
      </w:pPr>
      <w:r>
        <w:t>адрес: 119017, Москва, ул. Большая Ордынка, 25, стр. 1.</w:t>
      </w:r>
    </w:p>
    <w:p>
      <w:r>
        <w:t>Для нового цикла нужно запросить актуальную специальную почту и добавочные номера.</w:t>
      </w:r>
    </w:p>
    <w:p>
      <w:pPr>
        <w:pStyle w:val="Heading2"/>
      </w:pPr>
      <w:r>
        <w:t>Техническая поддержка портала</w:t>
      </w:r>
    </w:p>
    <w:p>
      <w:pPr>
        <w:pStyle w:val="ListBullet"/>
      </w:pPr>
      <w:hyperlink r:id="rId16">
        <w:r>
          <w:rPr>
            <w:color w:val="0563C1"/>
            <w:u w:val="single"/>
          </w:rPr>
          <w:t>https://promote.budget.gov.ru/</w:t>
        </w:r>
      </w:hyperlink>
    </w:p>
    <w:p>
      <w:pPr>
        <w:pStyle w:val="ListBullet"/>
      </w:pPr>
      <w:r>
        <w:t>горячая линия: 8 (800) 700-27-31;</w:t>
      </w:r>
    </w:p>
    <w:p>
      <w:pPr>
        <w:pStyle w:val="ListBullet"/>
      </w:pPr>
      <w:r>
        <w:t>форма обращения находится на портале.</w:t>
      </w:r>
    </w:p>
    <w:p>
      <w:pPr>
        <w:pStyle w:val="Heading2"/>
      </w:pPr>
      <w:r>
        <w:t>Министерство здравоохранения Республики Башкортостан</w:t>
      </w:r>
    </w:p>
    <w:p>
      <w:pPr>
        <w:pStyle w:val="ListBullet"/>
      </w:pPr>
      <w:r>
        <w:t xml:space="preserve">сайт: </w:t>
      </w:r>
      <w:hyperlink r:id="rId25">
        <w:r>
          <w:rPr>
            <w:color w:val="0563C1"/>
            <w:u w:val="single"/>
          </w:rPr>
          <w:t>https://health.bashkortostan.ru/</w:t>
        </w:r>
      </w:hyperlink>
    </w:p>
    <w:p>
      <w:pPr>
        <w:pStyle w:val="ListBullet"/>
      </w:pPr>
      <w:r>
        <w:t>приемная: +7 (347) 218-00-81;</w:t>
      </w:r>
    </w:p>
    <w:p>
      <w:pPr>
        <w:pStyle w:val="ListBullet"/>
      </w:pPr>
      <w:r>
        <w:t>канцелярия: +7 (347) 218-00-88;</w:t>
      </w:r>
    </w:p>
    <w:p>
      <w:pPr>
        <w:pStyle w:val="ListBullet"/>
      </w:pPr>
      <w:r>
        <w:t>email: minzdrav@bashkortostan.ru;</w:t>
      </w:r>
    </w:p>
    <w:p>
      <w:pPr>
        <w:pStyle w:val="ListBullet"/>
      </w:pPr>
      <w:r>
        <w:t>адрес: 450002, Республика Башкортостан, Уфа, ул. Тукаева, 23.</w:t>
      </w:r>
    </w:p>
    <w:p>
      <w:pPr>
        <w:pStyle w:val="Heading2"/>
      </w:pPr>
      <w:r>
        <w:t>Министерство просвещения Республики Башкортостан</w:t>
      </w:r>
    </w:p>
    <w:p>
      <w:pPr>
        <w:pStyle w:val="ListBullet"/>
      </w:pPr>
      <w:r>
        <w:t xml:space="preserve">сайт: </w:t>
      </w:r>
      <w:hyperlink r:id="rId24">
        <w:r>
          <w:rPr>
            <w:color w:val="0563C1"/>
            <w:u w:val="single"/>
          </w:rPr>
          <w:t>https://education.bashkortostan.ru/</w:t>
        </w:r>
      </w:hyperlink>
    </w:p>
    <w:p>
      <w:pPr>
        <w:pStyle w:val="ListBullet"/>
      </w:pPr>
      <w:r>
        <w:t>приемная: 8 (347) 218-03-15;</w:t>
      </w:r>
    </w:p>
    <w:p>
      <w:pPr>
        <w:pStyle w:val="ListBullet"/>
      </w:pPr>
      <w:r>
        <w:t>канцелярия: 8 (347) 218-03-29;</w:t>
      </w:r>
    </w:p>
    <w:p>
      <w:pPr>
        <w:pStyle w:val="ListBullet"/>
      </w:pPr>
      <w:r>
        <w:t>email: morb@bashkortostan.ru;</w:t>
      </w:r>
    </w:p>
    <w:p>
      <w:pPr>
        <w:pStyle w:val="ListBullet"/>
      </w:pPr>
      <w:r>
        <w:t>адрес: 450077, Уфа, ул. Театральная, 5/2.</w:t>
      </w:r>
    </w:p>
    <w:p>
      <w:pPr>
        <w:pStyle w:val="Heading2"/>
      </w:pPr>
      <w:r>
        <w:t>Белорецкий медицинский колледж</w:t>
      </w:r>
    </w:p>
    <w:p>
      <w:pPr>
        <w:pStyle w:val="ListBullet"/>
      </w:pPr>
      <w:r>
        <w:t xml:space="preserve">сайт: </w:t>
      </w:r>
      <w:hyperlink r:id="rId26">
        <w:r>
          <w:rPr>
            <w:color w:val="0563C1"/>
            <w:u w:val="single"/>
          </w:rPr>
          <w:t>https://www.belormedkol.ru/</w:t>
        </w:r>
      </w:hyperlink>
    </w:p>
    <w:p>
      <w:pPr>
        <w:pStyle w:val="ListBullet"/>
      </w:pPr>
      <w:r>
        <w:t>приемная: +7 (34792) 3-12-65;</w:t>
      </w:r>
    </w:p>
    <w:p>
      <w:pPr>
        <w:pStyle w:val="ListBullet"/>
      </w:pPr>
      <w:r>
        <w:t>email: beloreck.mk@doctorrb.ru;</w:t>
      </w:r>
    </w:p>
    <w:p>
      <w:pPr>
        <w:pStyle w:val="ListBullet"/>
      </w:pPr>
      <w:r>
        <w:t>адрес: 453500, Белорецк, ул. 50 лет Октября, 51.</w:t>
      </w:r>
    </w:p>
    <w:p>
      <w:pPr>
        <w:pStyle w:val="Heading2"/>
      </w:pPr>
      <w:r>
        <w:t>Белорецкая ЦРКБ</w:t>
      </w:r>
    </w:p>
    <w:p>
      <w:pPr>
        <w:pStyle w:val="ListBullet"/>
      </w:pPr>
      <w:r>
        <w:t xml:space="preserve">сайт: </w:t>
      </w:r>
      <w:hyperlink r:id="rId31">
        <w:r>
          <w:rPr>
            <w:color w:val="0563C1"/>
            <w:u w:val="single"/>
          </w:rPr>
          <w:t>https://бцркб.рф/</w:t>
        </w:r>
      </w:hyperlink>
    </w:p>
    <w:p>
      <w:pPr>
        <w:pStyle w:val="ListBullet"/>
      </w:pPr>
      <w:r>
        <w:t>приемная: +7 (34792) 3-17-57;</w:t>
      </w:r>
    </w:p>
    <w:p>
      <w:pPr>
        <w:pStyle w:val="ListBullet"/>
      </w:pPr>
      <w:r>
        <w:t>email: beloreck.crkb@doctorrb.ru;</w:t>
      </w:r>
    </w:p>
    <w:p>
      <w:pPr>
        <w:pStyle w:val="ListBullet"/>
      </w:pPr>
      <w:r>
        <w:t>главный врач по данным официального сайта на дату проверки: Фаткуллин Ильмир Фанилович.</w:t>
      </w:r>
    </w:p>
    <w:p>
      <w:pPr>
        <w:pStyle w:val="Heading2"/>
      </w:pPr>
      <w:r>
        <w:t>Бирский медико-фармацевтический колледж</w:t>
      </w:r>
    </w:p>
    <w:p>
      <w:pPr>
        <w:pStyle w:val="ListBullet"/>
      </w:pPr>
      <w:r>
        <w:t xml:space="preserve">сайт: </w:t>
      </w:r>
      <w:hyperlink r:id="rId27">
        <w:r>
          <w:rPr>
            <w:color w:val="0563C1"/>
            <w:u w:val="single"/>
          </w:rPr>
          <w:t>http://bmfk-birsk.ru/</w:t>
        </w:r>
      </w:hyperlink>
    </w:p>
    <w:p>
      <w:pPr>
        <w:pStyle w:val="ListBullet"/>
      </w:pPr>
      <w:r>
        <w:t>приемная: +7 (34784) 4-00-41;</w:t>
      </w:r>
    </w:p>
    <w:p>
      <w:pPr>
        <w:pStyle w:val="ListBullet"/>
      </w:pPr>
      <w:r>
        <w:t>email: birsk.mk@doctorrb.ru;</w:t>
      </w:r>
    </w:p>
    <w:p>
      <w:pPr>
        <w:pStyle w:val="ListBullet"/>
      </w:pPr>
      <w:r>
        <w:t>адрес: 452452, Бирск, ул. Интернациональная, 96.</w:t>
      </w:r>
    </w:p>
    <w:p>
      <w:pPr>
        <w:pStyle w:val="Heading1"/>
      </w:pPr>
      <w:r>
        <w:t>15. Вопросы, которые нужно направить официально</w:t>
      </w:r>
    </w:p>
    <w:p>
      <w:pPr>
        <w:pStyle w:val="Heading2"/>
      </w:pPr>
      <w:r>
        <w:t>Минздраву РБ</w:t>
      </w:r>
    </w:p>
    <w:p>
      <w:pPr>
        <w:pStyle w:val="ListNumber"/>
      </w:pPr>
      <w:r>
        <w:t>Поддерживает ли министерство создание отдельного медицинского кластера на базе Белорецкого колледжа?</w:t>
      </w:r>
    </w:p>
    <w:p>
      <w:pPr>
        <w:pStyle w:val="ListNumber"/>
      </w:pPr>
      <w:r>
        <w:t>Кто назначен региональным координатором «Профессионалитета» по здравоохранению?</w:t>
      </w:r>
    </w:p>
    <w:p>
      <w:pPr>
        <w:pStyle w:val="ListNumber"/>
      </w:pPr>
      <w:r>
        <w:t>На какой конкурсный цикл возможно заявляться?</w:t>
      </w:r>
    </w:p>
    <w:p>
      <w:pPr>
        <w:pStyle w:val="ListNumber"/>
      </w:pPr>
      <w:r>
        <w:t>Может ли в регионе существовать второй кластер по отрасли «Клиническая и профилактическая медицина»?</w:t>
      </w:r>
    </w:p>
    <w:p>
      <w:pPr>
        <w:pStyle w:val="ListNumber"/>
      </w:pPr>
      <w:r>
        <w:t>Какой объем регионального софинансирования возможен?</w:t>
      </w:r>
    </w:p>
    <w:p>
      <w:pPr>
        <w:pStyle w:val="ListNumber"/>
      </w:pPr>
      <w:r>
        <w:t>Какие больницы министерство готово включить работодателями?</w:t>
      </w:r>
    </w:p>
    <w:p>
      <w:pPr>
        <w:pStyle w:val="ListNumber"/>
      </w:pPr>
      <w:r>
        <w:t>Какие официальные данные кадрового дефицита можно использовать?</w:t>
      </w:r>
    </w:p>
    <w:p>
      <w:pPr>
        <w:pStyle w:val="ListNumber"/>
      </w:pPr>
      <w:r>
        <w:t>Как получить рассмотрение проекта региональным советом?</w:t>
      </w:r>
    </w:p>
    <w:p>
      <w:pPr>
        <w:pStyle w:val="Heading2"/>
      </w:pPr>
      <w:r>
        <w:t>ИРПО</w:t>
      </w:r>
    </w:p>
    <w:p>
      <w:pPr>
        <w:pStyle w:val="ListNumber"/>
      </w:pPr>
      <w:r>
        <w:t>Опубликован ли или планируется ли отбор на 2028 год?</w:t>
      </w:r>
    </w:p>
    <w:p>
      <w:pPr>
        <w:pStyle w:val="ListNumber"/>
      </w:pPr>
      <w:r>
        <w:t>Сохранятся ли 60,5 млн рублей для медицинского лота?</w:t>
      </w:r>
    </w:p>
    <w:p>
      <w:pPr>
        <w:pStyle w:val="ListNumber"/>
      </w:pPr>
      <w:r>
        <w:t>Возможен ли второй медицинский кластер в одном субъекте?</w:t>
      </w:r>
    </w:p>
    <w:p>
      <w:pPr>
        <w:pStyle w:val="ListNumber"/>
      </w:pPr>
      <w:r>
        <w:t>Может ли образовательная организация одновременно быть участником двух кластеров?</w:t>
      </w:r>
    </w:p>
    <w:p>
      <w:pPr>
        <w:pStyle w:val="ListNumber"/>
      </w:pPr>
      <w:r>
        <w:t>Как определяется базовая образовательная организация при наличии филиала?</w:t>
      </w:r>
    </w:p>
    <w:p>
      <w:pPr>
        <w:pStyle w:val="ListNumber"/>
      </w:pPr>
      <w:r>
        <w:t>Можно ли учитывать контингент и программы филиала?</w:t>
      </w:r>
    </w:p>
    <w:p>
      <w:pPr>
        <w:pStyle w:val="ListNumber"/>
      </w:pPr>
      <w:r>
        <w:t>Как учитываются деньги, имущество и оборудование работодателей?</w:t>
      </w:r>
    </w:p>
    <w:p>
      <w:pPr>
        <w:pStyle w:val="ListNumber"/>
      </w:pPr>
      <w:r>
        <w:t>Какова методика расчета показателей за три года?</w:t>
      </w:r>
    </w:p>
    <w:p>
      <w:pPr>
        <w:pStyle w:val="ListNumber"/>
      </w:pPr>
      <w:r>
        <w:t>Будет ли обязательная защита?</w:t>
      </w:r>
    </w:p>
    <w:p>
      <w:pPr>
        <w:pStyle w:val="ListNumber"/>
      </w:pPr>
      <w:r>
        <w:t>Где будут опубликованы новые формы и записи вебинаров?</w:t>
      </w:r>
    </w:p>
    <w:p>
      <w:pPr>
        <w:pStyle w:val="Heading2"/>
      </w:pPr>
      <w:r>
        <w:t>Бирскому колледжу</w:t>
      </w:r>
    </w:p>
    <w:p>
      <w:pPr>
        <w:pStyle w:val="ListNumber"/>
      </w:pPr>
      <w:r>
        <w:t>Каким был общий бюджет проекта?</w:t>
      </w:r>
    </w:p>
    <w:p>
      <w:pPr>
        <w:pStyle w:val="ListNumber"/>
      </w:pPr>
      <w:r>
        <w:t>Как распределялись федеральные, республиканские и партнерские средства?</w:t>
      </w:r>
    </w:p>
    <w:p>
      <w:pPr>
        <w:pStyle w:val="ListNumber"/>
      </w:pPr>
      <w:r>
        <w:t>Какая версия программы деятельности была подана?</w:t>
      </w:r>
    </w:p>
    <w:p>
      <w:pPr>
        <w:pStyle w:val="ListNumber"/>
      </w:pPr>
      <w:r>
        <w:t>Какие показатели были заявлены?</w:t>
      </w:r>
    </w:p>
    <w:p>
      <w:pPr>
        <w:pStyle w:val="ListNumber"/>
      </w:pPr>
      <w:r>
        <w:t>Какие работодатели дали денежный вклад, имущество и места практики?</w:t>
      </w:r>
    </w:p>
    <w:p>
      <w:pPr>
        <w:pStyle w:val="ListNumber"/>
      </w:pPr>
      <w:r>
        <w:t>Какие зоны и помещения модернизированы?</w:t>
      </w:r>
    </w:p>
    <w:p>
      <w:pPr>
        <w:pStyle w:val="ListNumber"/>
      </w:pPr>
      <w:r>
        <w:t>Какие ошибки пришлось исправлять?</w:t>
      </w:r>
    </w:p>
    <w:p>
      <w:pPr>
        <w:pStyle w:val="ListNumber"/>
      </w:pPr>
      <w:r>
        <w:t>Как проходило региональное согласование?</w:t>
      </w:r>
    </w:p>
    <w:p>
      <w:pPr>
        <w:pStyle w:val="ListNumber"/>
      </w:pPr>
      <w:r>
        <w:t>Была ли защита, где и по какому регламенту?</w:t>
      </w:r>
    </w:p>
    <w:p>
      <w:pPr>
        <w:pStyle w:val="ListNumber"/>
      </w:pPr>
      <w:r>
        <w:t>Можно ли получить обезличенные формы, смету, инфраструктурный лист и соглашение о партнерстве?</w:t>
      </w:r>
    </w:p>
    <w:p>
      <w:pPr>
        <w:pStyle w:val="Heading1"/>
      </w:pPr>
      <w:r>
        <w:t>16. Что повысит вероятность победы</w:t>
      </w:r>
    </w:p>
    <w:p>
      <w:pPr>
        <w:pStyle w:val="ListNumber"/>
      </w:pPr>
      <w:r>
        <w:t>Политическое решение региона до начала написания заявки.</w:t>
      </w:r>
    </w:p>
    <w:p>
      <w:pPr>
        <w:pStyle w:val="ListNumber"/>
      </w:pPr>
      <w:r>
        <w:t>Белорецкая ЦРКБ как реальный опорный работодатель.</w:t>
      </w:r>
    </w:p>
    <w:p>
      <w:pPr>
        <w:pStyle w:val="ListNumber"/>
      </w:pPr>
      <w:r>
        <w:t>Отдельное территориальное обоснование, а не копия Бирска.</w:t>
      </w:r>
    </w:p>
    <w:p>
      <w:pPr>
        <w:pStyle w:val="ListNumber"/>
      </w:pPr>
      <w:r>
        <w:t>Официальные цифры кадрового дефицита и вакансий на три года.</w:t>
      </w:r>
    </w:p>
    <w:p>
      <w:pPr>
        <w:pStyle w:val="ListNumber"/>
      </w:pPr>
      <w:r>
        <w:t>Масштаб минимум на уровне ориентиров победителей предыдущего медицинского лота.</w:t>
      </w:r>
    </w:p>
    <w:p>
      <w:pPr>
        <w:pStyle w:val="ListNumber"/>
      </w:pPr>
      <w:r>
        <w:t>Подтвержденное софинансирование около 60 млн рублей и выше, если новый конкурс сохранит прежнюю модель.</w:t>
      </w:r>
    </w:p>
    <w:p>
      <w:pPr>
        <w:pStyle w:val="ListNumber"/>
      </w:pPr>
      <w:r>
        <w:t>Большое число целевых договоров с гарантией трудоустройства.</w:t>
      </w:r>
    </w:p>
    <w:p>
      <w:pPr>
        <w:pStyle w:val="ListNumber"/>
      </w:pPr>
      <w:r>
        <w:t>Работники больниц, реально включенные в обучение.</w:t>
      </w:r>
    </w:p>
    <w:p>
      <w:pPr>
        <w:pStyle w:val="ListNumber"/>
      </w:pPr>
      <w:r>
        <w:t>Сильные сетевые партнеры и шесть программ либо иное убедительное обоснование масштаба.</w:t>
      </w:r>
    </w:p>
    <w:p>
      <w:pPr>
        <w:pStyle w:val="ListNumber"/>
      </w:pPr>
      <w:r>
        <w:t>Полная готовность помещений, прав на недвижимость и инженерных сетей.</w:t>
      </w:r>
    </w:p>
    <w:p>
      <w:pPr>
        <w:pStyle w:val="ListNumber"/>
      </w:pPr>
      <w:r>
        <w:t>Инфраструктурный лист, разработанный вместе с практикующими специалистами.</w:t>
      </w:r>
    </w:p>
    <w:p>
      <w:pPr>
        <w:pStyle w:val="ListNumber"/>
      </w:pPr>
      <w:r>
        <w:t>Нулевая техническая ошибка и подача до последних дней.</w:t>
      </w:r>
    </w:p>
    <w:p>
      <w:pPr>
        <w:pStyle w:val="Heading1"/>
      </w:pPr>
      <w:r>
        <w:t>17. Главные риски</w:t>
      </w:r>
    </w:p>
    <w:p>
      <w:pPr>
        <w:pStyle w:val="ListNumber"/>
      </w:pPr>
      <w:r>
        <w:t>Регион не поддержит второй медицинский кластер.</w:t>
      </w:r>
    </w:p>
    <w:p>
      <w:pPr>
        <w:pStyle w:val="ListNumber"/>
      </w:pPr>
      <w:r>
        <w:t>Проект будет восприниматься как дублирование Бирска.</w:t>
      </w:r>
    </w:p>
    <w:p>
      <w:pPr>
        <w:pStyle w:val="ListNumber"/>
      </w:pPr>
      <w:r>
        <w:t>Три специальности дадут слабое значение критерия по программам.</w:t>
      </w:r>
    </w:p>
    <w:p>
      <w:pPr>
        <w:pStyle w:val="ListNumber"/>
      </w:pPr>
      <w:r>
        <w:t>Не будет подтверждено софинансирование.</w:t>
      </w:r>
    </w:p>
    <w:p>
      <w:pPr>
        <w:pStyle w:val="ListNumber"/>
      </w:pPr>
      <w:r>
        <w:t>Работодатели подпишут общие письма без чисел.</w:t>
      </w:r>
    </w:p>
    <w:p>
      <w:pPr>
        <w:pStyle w:val="ListNumber"/>
      </w:pPr>
      <w:r>
        <w:t>Помещения окажутся неготовыми либо не закрепленными на праве оперативного управления.</w:t>
      </w:r>
    </w:p>
    <w:p>
      <w:pPr>
        <w:pStyle w:val="ListNumber"/>
      </w:pPr>
      <w:r>
        <w:t>Капремонт будет смешан с текущим ремонтом или реконструкцией.</w:t>
      </w:r>
    </w:p>
    <w:p>
      <w:pPr>
        <w:pStyle w:val="ListNumber"/>
      </w:pPr>
      <w:r>
        <w:t>В программу попадут устаревшие коды ФГОС.</w:t>
      </w:r>
    </w:p>
    <w:p>
      <w:pPr>
        <w:pStyle w:val="ListNumber"/>
      </w:pPr>
      <w:r>
        <w:t>Документы будут подписаны ненадлежащим лицом.</w:t>
      </w:r>
    </w:p>
    <w:p>
      <w:pPr>
        <w:pStyle w:val="ListNumber"/>
      </w:pPr>
      <w:r>
        <w:t>Будут использованы формы предыдущего года.</w:t>
      </w:r>
    </w:p>
    <w:p>
      <w:pPr>
        <w:pStyle w:val="ListNumber"/>
      </w:pPr>
      <w:r>
        <w:t>Цифры в программе, приложениях и портале разойдутся.</w:t>
      </w:r>
    </w:p>
    <w:p>
      <w:pPr>
        <w:pStyle w:val="ListNumber"/>
      </w:pPr>
      <w:r>
        <w:t>Заявка будет отправлена в последний день.</w:t>
      </w:r>
    </w:p>
    <w:p>
      <w:pPr>
        <w:pStyle w:val="Heading1"/>
      </w:pPr>
      <w:r>
        <w:t>18. Проверенный результат, к которому нужно идти</w:t>
      </w:r>
    </w:p>
    <w:p>
      <w:r>
        <w:t>Результат проекта — не просто ремонт и закупка оборудования. К концу грантового года должен быть создан и введен в работу кластер:</w:t>
      </w:r>
    </w:p>
    <w:p>
      <w:pPr>
        <w:pStyle w:val="ListBullet"/>
      </w:pPr>
      <w:r>
        <w:t>модернизированы помещения базового колледжа;</w:t>
      </w:r>
    </w:p>
    <w:p>
      <w:pPr>
        <w:pStyle w:val="ListBullet"/>
      </w:pPr>
      <w:r>
        <w:t>созданы зоны по видам работ;</w:t>
      </w:r>
    </w:p>
    <w:p>
      <w:pPr>
        <w:pStyle w:val="ListBullet"/>
      </w:pPr>
      <w:r>
        <w:t>закуплено и введено в эксплуатацию оборудование;</w:t>
      </w:r>
    </w:p>
    <w:p>
      <w:pPr>
        <w:pStyle w:val="ListBullet"/>
      </w:pPr>
      <w:r>
        <w:t>запущены программы «Профессионалитета»;</w:t>
      </w:r>
    </w:p>
    <w:p>
      <w:pPr>
        <w:pStyle w:val="ListBullet"/>
      </w:pPr>
      <w:r>
        <w:t>подписано соглашение всех участников;</w:t>
      </w:r>
    </w:p>
    <w:p>
      <w:pPr>
        <w:pStyle w:val="ListBullet"/>
      </w:pPr>
      <w:r>
        <w:t>работодатели включены в обучение;</w:t>
      </w:r>
    </w:p>
    <w:p>
      <w:pPr>
        <w:pStyle w:val="ListBullet"/>
      </w:pPr>
      <w:r>
        <w:t>заключены целевые договоры;</w:t>
      </w:r>
    </w:p>
    <w:p>
      <w:pPr>
        <w:pStyle w:val="ListBullet"/>
      </w:pPr>
      <w:r>
        <w:t>достигнуты утвержденные показатели;</w:t>
      </w:r>
    </w:p>
    <w:p>
      <w:pPr>
        <w:pStyle w:val="ListBullet"/>
      </w:pPr>
      <w:r>
        <w:t>создана система управления кластером;</w:t>
      </w:r>
    </w:p>
    <w:p>
      <w:pPr>
        <w:pStyle w:val="ListBullet"/>
      </w:pPr>
      <w:r>
        <w:t>обеспечена отчетность по гранту;</w:t>
      </w:r>
    </w:p>
    <w:p>
      <w:pPr>
        <w:pStyle w:val="ListBullet"/>
      </w:pPr>
      <w:r>
        <w:t>программа продолжается не менее трех лет.</w:t>
      </w:r>
    </w:p>
    <w:p>
      <w:pPr>
        <w:pStyle w:val="Heading1"/>
      </w:pPr>
      <w:r>
        <w:t>19. Что пока не подтверждено</w:t>
      </w:r>
    </w:p>
    <w:p>
      <w:r>
        <w:t>На 19.10.2026 требуют отдельного официального ответа:</w:t>
      </w:r>
    </w:p>
    <w:p>
      <w:pPr>
        <w:pStyle w:val="ListBullet"/>
      </w:pPr>
      <w:r>
        <w:t>дата и условия конкурса на 2028 год;</w:t>
      </w:r>
    </w:p>
    <w:p>
      <w:pPr>
        <w:pStyle w:val="ListBullet"/>
      </w:pPr>
      <w:r>
        <w:t>число медицинских грантов в следующем цикле;</w:t>
      </w:r>
    </w:p>
    <w:p>
      <w:pPr>
        <w:pStyle w:val="ListBullet"/>
      </w:pPr>
      <w:r>
        <w:t>размер следующего медицинского гранта;</w:t>
      </w:r>
    </w:p>
    <w:p>
      <w:pPr>
        <w:pStyle w:val="ListBullet"/>
      </w:pPr>
      <w:r>
        <w:t>возможность второго медицинского кластера Башкортостана;</w:t>
      </w:r>
    </w:p>
    <w:p>
      <w:pPr>
        <w:pStyle w:val="ListBullet"/>
      </w:pPr>
      <w:r>
        <w:t>точный индивидуальный бюджет Бирского проекта;</w:t>
      </w:r>
    </w:p>
    <w:p>
      <w:pPr>
        <w:pStyle w:val="ListBullet"/>
      </w:pPr>
      <w:r>
        <w:t>статус Белорецкого проекта в планах Минздрава РБ;</w:t>
      </w:r>
    </w:p>
    <w:p>
      <w:pPr>
        <w:pStyle w:val="ListBullet"/>
      </w:pPr>
      <w:r>
        <w:t>состав региональной проектной команды;</w:t>
      </w:r>
    </w:p>
    <w:p>
      <w:pPr>
        <w:pStyle w:val="ListBullet"/>
      </w:pPr>
      <w:r>
        <w:t>обязательность и регламент защиты;</w:t>
      </w:r>
    </w:p>
    <w:p>
      <w:pPr>
        <w:pStyle w:val="ListBullet"/>
      </w:pPr>
      <w:r>
        <w:t>объем регионального софинансирования;</w:t>
      </w:r>
    </w:p>
    <w:p>
      <w:pPr>
        <w:pStyle w:val="ListBullet"/>
      </w:pPr>
      <w:r>
        <w:t>допустимость участия сетевого колледжа в нескольких кластерах.</w:t>
      </w:r>
    </w:p>
    <w:p>
      <w:r>
        <w:t>До получения этих ответов проект можно готовить, но нельзя обещать получение гранта или фиксировать окончательные суммы.</w:t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Профессионалитет: Белорецкий медицинский колледж | рабочее досье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vitelstvorb.ru/news/21169/" TargetMode="External"/><Relationship Id="rId10" Type="http://schemas.openxmlformats.org/officeDocument/2006/relationships/hyperlink" Target="https://health.bashkortostan.ru/presscenter/news/569427/" TargetMode="External"/><Relationship Id="rId11" Type="http://schemas.openxmlformats.org/officeDocument/2006/relationships/hyperlink" Target="https://education.bashkortostan.ru/presscenter/news/749302/" TargetMode="External"/><Relationship Id="rId12" Type="http://schemas.openxmlformats.org/officeDocument/2006/relationships/hyperlink" Target="http://publication.pravo.gov.ru/Document/View/0001202201240006" TargetMode="External"/><Relationship Id="rId13" Type="http://schemas.openxmlformats.org/officeDocument/2006/relationships/hyperlink" Target="http://publication.pravo.gov.ru/Document/View/0001202302220023" TargetMode="External"/><Relationship Id="rId14" Type="http://schemas.openxmlformats.org/officeDocument/2006/relationships/hyperlink" Target="https://www.garant.ru/products/ipo/prime/doc/406770418/" TargetMode="External"/><Relationship Id="rId15" Type="http://schemas.openxmlformats.org/officeDocument/2006/relationships/hyperlink" Target="http://publication.pravo.gov.ru/" TargetMode="External"/><Relationship Id="rId16" Type="http://schemas.openxmlformats.org/officeDocument/2006/relationships/hyperlink" Target="https://promote.budget.gov.ru/" TargetMode="External"/><Relationship Id="rId17" Type="http://schemas.openxmlformats.org/officeDocument/2006/relationships/hyperlink" Target="https://mtb-spo.firpo.ru/" TargetMode="External"/><Relationship Id="rId18" Type="http://schemas.openxmlformats.org/officeDocument/2006/relationships/hyperlink" Target="https://edu.gov.ru/" TargetMode="External"/><Relationship Id="rId19" Type="http://schemas.openxmlformats.org/officeDocument/2006/relationships/hyperlink" Target="https://firpo.ru/activities/projects/federalnyy-proekt-professionalitet/" TargetMode="External"/><Relationship Id="rId20" Type="http://schemas.openxmlformats.org/officeDocument/2006/relationships/hyperlink" Target="https://professionalitet.firpo.ru/" TargetMode="External"/><Relationship Id="rId21" Type="http://schemas.openxmlformats.org/officeDocument/2006/relationships/hyperlink" Target="https://&#1103;&#1087;&#1088;&#1086;&#1092;.&#1088;&#1092;/" TargetMode="External"/><Relationship Id="rId22" Type="http://schemas.openxmlformats.org/officeDocument/2006/relationships/hyperlink" Target="https://&#1087;&#1088;&#1086;&#1092;&#1077;&#1089;&#1089;&#1080;&#1086;&#1085;&#1072;&#1083;&#1080;&#1090;&#1077;&#1090;.&#1088;&#1092;/" TargetMode="External"/><Relationship Id="rId23" Type="http://schemas.openxmlformats.org/officeDocument/2006/relationships/hyperlink" Target="https://navigator.spolab.firpo.ru/" TargetMode="External"/><Relationship Id="rId24" Type="http://schemas.openxmlformats.org/officeDocument/2006/relationships/hyperlink" Target="https://education.bashkortostan.ru/" TargetMode="External"/><Relationship Id="rId25" Type="http://schemas.openxmlformats.org/officeDocument/2006/relationships/hyperlink" Target="https://health.bashkortostan.ru/" TargetMode="External"/><Relationship Id="rId26" Type="http://schemas.openxmlformats.org/officeDocument/2006/relationships/hyperlink" Target="https://www.belormedkol.ru/" TargetMode="External"/><Relationship Id="rId27" Type="http://schemas.openxmlformats.org/officeDocument/2006/relationships/hyperlink" Target="http://bmfk-birsk.ru/" TargetMode="External"/><Relationship Id="rId28" Type="http://schemas.openxmlformats.org/officeDocument/2006/relationships/hyperlink" Target="https://&#1103;&#1087;&#1088;&#1086;&#1092;.&#1088;&#1092;/objects/meditsina/birskiy-mediko-farmatsevticheskiy-kolledzh/" TargetMode="External"/><Relationship Id="rId29" Type="http://schemas.openxmlformats.org/officeDocument/2006/relationships/hyperlink" Target="https://mtb-spo.firpo.ru/list-clusters/%D0%9C%D0%B5%D0%B4%D0%B8%D1%86%D0%B8%D0%BD%D0%B0/2023/cluster" TargetMode="External"/><Relationship Id="rId30" Type="http://schemas.openxmlformats.org/officeDocument/2006/relationships/hyperlink" Target="http://bmfk-birsk.ru/docs/otchet_samoobsled_2025.pdf" TargetMode="External"/><Relationship Id="rId31" Type="http://schemas.openxmlformats.org/officeDocument/2006/relationships/hyperlink" Target="https://&#1073;&#1094;&#1088;&#1082;&#1073;.&#1088;&#1092;/" TargetMode="External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